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D7" w:rsidRPr="002777CC" w:rsidRDefault="009F0AC4" w:rsidP="00EA02C4">
      <w:pPr>
        <w:bidi/>
        <w:spacing w:line="360" w:lineRule="auto"/>
        <w:jc w:val="center"/>
        <w:rPr>
          <w:rFonts w:cs="David"/>
          <w:b/>
          <w:bCs/>
          <w:color w:val="0000FF"/>
          <w:kern w:val="52"/>
          <w:sz w:val="40"/>
          <w:szCs w:val="40"/>
          <w:rtl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8A8EBD4" wp14:editId="136C0CC5">
            <wp:simplePos x="0" y="0"/>
            <wp:positionH relativeFrom="column">
              <wp:posOffset>5295900</wp:posOffset>
            </wp:positionH>
            <wp:positionV relativeFrom="paragraph">
              <wp:posOffset>-525780</wp:posOffset>
            </wp:positionV>
            <wp:extent cx="523875" cy="523875"/>
            <wp:effectExtent l="0" t="0" r="9525" b="9525"/>
            <wp:wrapNone/>
            <wp:docPr id="12" name="תמונה 12" descr="http://blogs.nature.com/spoonful/files/2013/02/shutterstock_8570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nature.com/spoonful/files/2013/02/shutterstock_857018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7D7" w:rsidRPr="002777CC">
        <w:rPr>
          <w:rFonts w:cs="David" w:hint="cs"/>
          <w:b/>
          <w:bCs/>
          <w:color w:val="0000FF"/>
          <w:kern w:val="52"/>
          <w:sz w:val="40"/>
          <w:szCs w:val="40"/>
          <w:rtl/>
        </w:rPr>
        <w:t>סרטן הערמונית</w:t>
      </w:r>
      <w:r w:rsidR="00465D52" w:rsidRPr="002777CC">
        <w:rPr>
          <w:rFonts w:cs="David" w:hint="cs"/>
          <w:b/>
          <w:bCs/>
          <w:color w:val="0000FF"/>
          <w:kern w:val="52"/>
          <w:sz w:val="40"/>
          <w:szCs w:val="40"/>
          <w:rtl/>
        </w:rPr>
        <w:t xml:space="preserve"> בישראל</w:t>
      </w:r>
    </w:p>
    <w:p w:rsidR="00A617D7" w:rsidRPr="00EC2CAF" w:rsidRDefault="00A617D7" w:rsidP="00555275">
      <w:pPr>
        <w:bidi/>
        <w:spacing w:line="360" w:lineRule="auto"/>
        <w:jc w:val="center"/>
        <w:rPr>
          <w:rFonts w:cs="David"/>
          <w:sz w:val="28"/>
          <w:szCs w:val="28"/>
          <w:rtl/>
        </w:rPr>
      </w:pPr>
      <w:r w:rsidRPr="00EC2CAF">
        <w:rPr>
          <w:rFonts w:cs="David" w:hint="cs"/>
          <w:sz w:val="28"/>
          <w:szCs w:val="28"/>
          <w:rtl/>
        </w:rPr>
        <w:t>עדכון</w:t>
      </w:r>
      <w:r w:rsidR="00B7317E">
        <w:rPr>
          <w:rFonts w:cs="David" w:hint="cs"/>
          <w:sz w:val="28"/>
          <w:szCs w:val="28"/>
          <w:rtl/>
        </w:rPr>
        <w:t xml:space="preserve"> נתוני תחלואה ותמותה, ספטמבר 20</w:t>
      </w:r>
      <w:r w:rsidR="00EA02C4">
        <w:rPr>
          <w:rFonts w:cs="David" w:hint="cs"/>
          <w:sz w:val="28"/>
          <w:szCs w:val="28"/>
          <w:rtl/>
        </w:rPr>
        <w:t>1</w:t>
      </w:r>
      <w:r w:rsidR="00555275">
        <w:rPr>
          <w:rFonts w:cs="David" w:hint="cs"/>
          <w:sz w:val="28"/>
          <w:szCs w:val="28"/>
          <w:rtl/>
        </w:rPr>
        <w:t>8</w:t>
      </w:r>
    </w:p>
    <w:p w:rsidR="00A617D7" w:rsidRDefault="00A617D7" w:rsidP="00A617D7">
      <w:pPr>
        <w:bidi/>
        <w:spacing w:line="360" w:lineRule="auto"/>
        <w:jc w:val="center"/>
        <w:rPr>
          <w:rFonts w:cs="David"/>
          <w:sz w:val="20"/>
          <w:szCs w:val="20"/>
          <w:rtl/>
        </w:rPr>
      </w:pPr>
      <w:r w:rsidRPr="00EC2CAF">
        <w:rPr>
          <w:rFonts w:cs="David" w:hint="cs"/>
          <w:sz w:val="20"/>
          <w:szCs w:val="20"/>
          <w:rtl/>
        </w:rPr>
        <w:t>הרישום הלאומי לסרטן, המרכז הלאומי לבקרת מחלות, משרד הבריאות</w:t>
      </w:r>
      <w:r w:rsidR="0035402C">
        <w:rPr>
          <w:rStyle w:val="a5"/>
          <w:rFonts w:cs="David"/>
          <w:sz w:val="20"/>
          <w:szCs w:val="20"/>
          <w:rtl/>
        </w:rPr>
        <w:footnoteReference w:id="1"/>
      </w:r>
    </w:p>
    <w:p w:rsidR="00EC2CAF" w:rsidRPr="00EC2CAF" w:rsidRDefault="00EC2CAF" w:rsidP="00EC2CAF">
      <w:pPr>
        <w:bidi/>
        <w:spacing w:line="360" w:lineRule="auto"/>
        <w:jc w:val="center"/>
        <w:rPr>
          <w:rFonts w:cs="David"/>
          <w:sz w:val="20"/>
          <w:szCs w:val="20"/>
          <w:rtl/>
        </w:rPr>
      </w:pPr>
    </w:p>
    <w:p w:rsidR="00A617D7" w:rsidRPr="0061780A" w:rsidRDefault="0061780A" w:rsidP="00A617D7">
      <w:pPr>
        <w:bidi/>
        <w:spacing w:line="360" w:lineRule="auto"/>
        <w:jc w:val="both"/>
        <w:rPr>
          <w:rFonts w:cs="David"/>
          <w:b/>
          <w:bCs/>
          <w:color w:val="0000FF"/>
          <w:sz w:val="28"/>
          <w:szCs w:val="28"/>
          <w:rtl/>
        </w:rPr>
      </w:pPr>
      <w:r w:rsidRPr="0061780A">
        <w:rPr>
          <w:rFonts w:cs="David" w:hint="cs"/>
          <w:b/>
          <w:bCs/>
          <w:color w:val="0000FF"/>
          <w:sz w:val="28"/>
          <w:szCs w:val="28"/>
        </w:rPr>
        <w:sym w:font="Wingdings 3" w:char="F074"/>
      </w:r>
      <w:r w:rsidRPr="0061780A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="00A617D7" w:rsidRPr="002777CC">
        <w:rPr>
          <w:rFonts w:cs="David" w:hint="cs"/>
          <w:b/>
          <w:bCs/>
          <w:color w:val="0000FF"/>
          <w:kern w:val="28"/>
          <w:sz w:val="28"/>
          <w:szCs w:val="28"/>
          <w:rtl/>
        </w:rPr>
        <w:t>שיעורי ההיארעות של סרטן הערמונית</w:t>
      </w:r>
      <w:r w:rsidR="00465D52" w:rsidRPr="002777CC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ומגמות עיתיות</w:t>
      </w:r>
    </w:p>
    <w:p w:rsidR="00D64DFD" w:rsidRPr="004F7956" w:rsidRDefault="00D64DFD" w:rsidP="00495CDF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סרטן הערמונית הוא הסרטן השכיח ביותר בגברים בישראל בכלל</w:t>
      </w:r>
      <w:r w:rsidR="00622044" w:rsidRPr="004F7956">
        <w:rPr>
          <w:rFonts w:cs="David" w:hint="cs"/>
          <w:rtl/>
        </w:rPr>
        <w:t xml:space="preserve">; </w:t>
      </w:r>
      <w:r w:rsidRPr="004F7956">
        <w:rPr>
          <w:rFonts w:cs="David" w:hint="eastAsia"/>
          <w:rtl/>
        </w:rPr>
        <w:t>הראשון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בשכיחותו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בקרב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יהודים</w:t>
      </w:r>
      <w:r w:rsidR="00622044" w:rsidRPr="004F7956">
        <w:rPr>
          <w:rFonts w:cs="David"/>
          <w:rtl/>
        </w:rPr>
        <w:t xml:space="preserve"> (</w:t>
      </w:r>
      <w:r w:rsidR="0072672E" w:rsidRPr="004F7956">
        <w:rPr>
          <w:rFonts w:cs="David"/>
          <w:rtl/>
        </w:rPr>
        <w:t>17.7</w:t>
      </w:r>
      <w:r w:rsidR="00341718" w:rsidRPr="004F7956">
        <w:rPr>
          <w:rFonts w:cs="David"/>
          <w:rtl/>
        </w:rPr>
        <w:t>%</w:t>
      </w:r>
      <w:r w:rsidR="00622044" w:rsidRPr="004F7956">
        <w:rPr>
          <w:rFonts w:cs="David"/>
          <w:rtl/>
        </w:rPr>
        <w:t xml:space="preserve"> מכלל המקרים החדשים בשנת 201</w:t>
      </w:r>
      <w:r w:rsidR="00555275" w:rsidRPr="004F7956">
        <w:rPr>
          <w:rFonts w:cs="David"/>
          <w:rtl/>
        </w:rPr>
        <w:t>5</w:t>
      </w:r>
      <w:r w:rsidR="00622044" w:rsidRPr="004F7956">
        <w:rPr>
          <w:rFonts w:cs="David"/>
          <w:rtl/>
        </w:rPr>
        <w:t>)</w:t>
      </w:r>
      <w:r w:rsidR="00495CDF" w:rsidRPr="004F7956">
        <w:rPr>
          <w:rFonts w:cs="David" w:hint="cs"/>
          <w:rtl/>
        </w:rPr>
        <w:t>;</w:t>
      </w:r>
      <w:r w:rsidR="00622044" w:rsidRPr="004F7956">
        <w:rPr>
          <w:rFonts w:cs="David"/>
          <w:rtl/>
        </w:rPr>
        <w:t xml:space="preserve"> </w:t>
      </w:r>
      <w:r w:rsidR="00622044" w:rsidRPr="004F7956">
        <w:rPr>
          <w:rFonts w:cs="David" w:hint="eastAsia"/>
          <w:rtl/>
        </w:rPr>
        <w:t>הש</w:t>
      </w:r>
      <w:r w:rsidR="004D7C2F" w:rsidRPr="004F7956">
        <w:rPr>
          <w:rFonts w:cs="David" w:hint="eastAsia"/>
          <w:rtl/>
        </w:rPr>
        <w:t>ליש</w:t>
      </w:r>
      <w:r w:rsidRPr="004F7956">
        <w:rPr>
          <w:rFonts w:cs="David" w:hint="eastAsia"/>
          <w:rtl/>
        </w:rPr>
        <w:t>י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בשכיחותו</w:t>
      </w:r>
      <w:r w:rsidRPr="004F7956">
        <w:rPr>
          <w:rFonts w:cs="David"/>
          <w:rtl/>
        </w:rPr>
        <w:t xml:space="preserve">, </w:t>
      </w:r>
      <w:r w:rsidRPr="004F7956">
        <w:rPr>
          <w:rFonts w:cs="David" w:hint="eastAsia"/>
          <w:rtl/>
        </w:rPr>
        <w:t>אחרי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סרטן</w:t>
      </w:r>
      <w:r w:rsidRPr="004F7956">
        <w:rPr>
          <w:rFonts w:cs="David"/>
          <w:rtl/>
        </w:rPr>
        <w:t xml:space="preserve"> </w:t>
      </w:r>
      <w:r w:rsidRPr="004F7956">
        <w:rPr>
          <w:rFonts w:cs="David" w:hint="eastAsia"/>
          <w:rtl/>
        </w:rPr>
        <w:t>הריאה</w:t>
      </w:r>
      <w:r w:rsidR="004D7C2F" w:rsidRPr="004F7956">
        <w:rPr>
          <w:rFonts w:cs="David"/>
          <w:rtl/>
        </w:rPr>
        <w:t xml:space="preserve"> וסרטן המעי הגס והחלחולת</w:t>
      </w:r>
      <w:r w:rsidR="00250511" w:rsidRPr="004F7956">
        <w:rPr>
          <w:rFonts w:cs="David"/>
          <w:rtl/>
        </w:rPr>
        <w:t>,</w:t>
      </w:r>
      <w:r w:rsidRPr="004F7956">
        <w:rPr>
          <w:rFonts w:cs="David"/>
          <w:rtl/>
        </w:rPr>
        <w:t xml:space="preserve"> בגברים ערבים</w:t>
      </w:r>
      <w:r w:rsidR="00622044" w:rsidRPr="004F7956">
        <w:rPr>
          <w:rFonts w:cs="David"/>
          <w:rtl/>
        </w:rPr>
        <w:t xml:space="preserve"> (</w:t>
      </w:r>
      <w:r w:rsidR="0072672E" w:rsidRPr="004F7956">
        <w:rPr>
          <w:rFonts w:cs="David"/>
          <w:rtl/>
        </w:rPr>
        <w:t>10.4</w:t>
      </w:r>
      <w:r w:rsidR="00622044" w:rsidRPr="004F7956">
        <w:rPr>
          <w:rFonts w:cs="David"/>
          <w:rtl/>
        </w:rPr>
        <w:t xml:space="preserve">% </w:t>
      </w:r>
      <w:r w:rsidR="00622044" w:rsidRPr="004F7956">
        <w:rPr>
          <w:rFonts w:cs="David" w:hint="eastAsia"/>
          <w:rtl/>
        </w:rPr>
        <w:t>מכלל</w:t>
      </w:r>
      <w:r w:rsidR="00622044" w:rsidRPr="004F7956">
        <w:rPr>
          <w:rFonts w:cs="David"/>
          <w:rtl/>
        </w:rPr>
        <w:t xml:space="preserve"> </w:t>
      </w:r>
      <w:r w:rsidR="00622044" w:rsidRPr="004F7956">
        <w:rPr>
          <w:rFonts w:cs="David" w:hint="eastAsia"/>
          <w:rtl/>
        </w:rPr>
        <w:t>המקרים</w:t>
      </w:r>
      <w:r w:rsidR="00622044" w:rsidRPr="004F7956">
        <w:rPr>
          <w:rFonts w:cs="David"/>
          <w:rtl/>
        </w:rPr>
        <w:t xml:space="preserve"> </w:t>
      </w:r>
      <w:r w:rsidR="00622044" w:rsidRPr="004F7956">
        <w:rPr>
          <w:rFonts w:cs="David" w:hint="eastAsia"/>
          <w:rtl/>
        </w:rPr>
        <w:t>החדשים</w:t>
      </w:r>
      <w:r w:rsidR="00622044" w:rsidRPr="004F7956">
        <w:rPr>
          <w:rFonts w:cs="David"/>
          <w:rtl/>
        </w:rPr>
        <w:t xml:space="preserve"> </w:t>
      </w:r>
      <w:r w:rsidR="00622044" w:rsidRPr="004F7956">
        <w:rPr>
          <w:rFonts w:cs="David" w:hint="eastAsia"/>
          <w:rtl/>
        </w:rPr>
        <w:t>ב</w:t>
      </w:r>
      <w:r w:rsidR="00622044" w:rsidRPr="004F7956">
        <w:rPr>
          <w:rFonts w:cs="David"/>
          <w:rtl/>
        </w:rPr>
        <w:t>-201</w:t>
      </w:r>
      <w:r w:rsidR="00555275" w:rsidRPr="004F7956">
        <w:rPr>
          <w:rFonts w:cs="David"/>
          <w:rtl/>
        </w:rPr>
        <w:t>5</w:t>
      </w:r>
      <w:r w:rsidRPr="004F7956">
        <w:rPr>
          <w:rFonts w:cs="David"/>
          <w:rtl/>
        </w:rPr>
        <w:t>)</w:t>
      </w:r>
      <w:r w:rsidR="00495CDF" w:rsidRPr="004F7956">
        <w:rPr>
          <w:rFonts w:cs="David" w:hint="cs"/>
          <w:rtl/>
        </w:rPr>
        <w:t>;</w:t>
      </w:r>
      <w:r w:rsidR="0072672E" w:rsidRPr="004F7956">
        <w:rPr>
          <w:rFonts w:cs="David"/>
          <w:rtl/>
        </w:rPr>
        <w:t xml:space="preserve"> ו</w:t>
      </w:r>
      <w:r w:rsidR="00495CDF" w:rsidRPr="004F7956">
        <w:rPr>
          <w:rFonts w:cs="David" w:hint="cs"/>
          <w:rtl/>
        </w:rPr>
        <w:t>ה</w:t>
      </w:r>
      <w:r w:rsidR="0072672E" w:rsidRPr="004F7956">
        <w:rPr>
          <w:rFonts w:cs="David"/>
          <w:rtl/>
        </w:rPr>
        <w:t xml:space="preserve">ראשון בשכיחותו בקרב חולים </w:t>
      </w:r>
      <w:r w:rsidR="00495CDF" w:rsidRPr="004F7956">
        <w:rPr>
          <w:rFonts w:cs="David" w:hint="cs"/>
          <w:rtl/>
        </w:rPr>
        <w:t xml:space="preserve">"אחרים", כלומר, </w:t>
      </w:r>
      <w:r w:rsidR="0072672E" w:rsidRPr="004F7956">
        <w:rPr>
          <w:rFonts w:cs="David"/>
          <w:rtl/>
        </w:rPr>
        <w:t xml:space="preserve">נוצרים שאינם ערבים וכאלה ללא סיווג דת (17.0% </w:t>
      </w:r>
      <w:r w:rsidR="0072672E" w:rsidRPr="004F7956">
        <w:rPr>
          <w:rFonts w:cs="David" w:hint="eastAsia"/>
          <w:rtl/>
        </w:rPr>
        <w:t>מכלל</w:t>
      </w:r>
      <w:r w:rsidR="0072672E" w:rsidRPr="004F7956">
        <w:rPr>
          <w:rFonts w:cs="David"/>
          <w:rtl/>
        </w:rPr>
        <w:t xml:space="preserve"> </w:t>
      </w:r>
      <w:r w:rsidR="0072672E" w:rsidRPr="004F7956">
        <w:rPr>
          <w:rFonts w:cs="David" w:hint="eastAsia"/>
          <w:rtl/>
        </w:rPr>
        <w:t>המקרים</w:t>
      </w:r>
      <w:r w:rsidR="0072672E" w:rsidRPr="004F7956">
        <w:rPr>
          <w:rFonts w:cs="David"/>
          <w:rtl/>
        </w:rPr>
        <w:t xml:space="preserve"> </w:t>
      </w:r>
      <w:r w:rsidR="0072672E" w:rsidRPr="004F7956">
        <w:rPr>
          <w:rFonts w:cs="David" w:hint="eastAsia"/>
          <w:rtl/>
        </w:rPr>
        <w:t>החדשים</w:t>
      </w:r>
      <w:r w:rsidR="0072672E" w:rsidRPr="004F7956">
        <w:rPr>
          <w:rFonts w:cs="David"/>
          <w:rtl/>
        </w:rPr>
        <w:t xml:space="preserve"> </w:t>
      </w:r>
      <w:r w:rsidR="0072672E" w:rsidRPr="004F7956">
        <w:rPr>
          <w:rFonts w:cs="David" w:hint="eastAsia"/>
          <w:rtl/>
        </w:rPr>
        <w:t>בשנת</w:t>
      </w:r>
      <w:r w:rsidR="0072672E" w:rsidRPr="004F7956">
        <w:rPr>
          <w:rFonts w:cs="David"/>
          <w:rtl/>
        </w:rPr>
        <w:t xml:space="preserve"> 2015)</w:t>
      </w:r>
      <w:r w:rsidRPr="004F7956">
        <w:rPr>
          <w:rFonts w:cs="David"/>
          <w:rtl/>
        </w:rPr>
        <w:t>.</w:t>
      </w:r>
      <w:r w:rsidR="00532142" w:rsidRPr="004F7956">
        <w:rPr>
          <w:rFonts w:cs="David" w:hint="cs"/>
          <w:rtl/>
        </w:rPr>
        <w:t xml:space="preserve"> </w:t>
      </w:r>
    </w:p>
    <w:p w:rsidR="00A617D7" w:rsidRPr="004F7956" w:rsidRDefault="00151D79" w:rsidP="0072672E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/>
          <w:rtl/>
        </w:rPr>
        <w:t>בשנת 201</w:t>
      </w:r>
      <w:r w:rsidR="00555275" w:rsidRPr="004F7956">
        <w:rPr>
          <w:rFonts w:cs="David" w:hint="cs"/>
          <w:rtl/>
        </w:rPr>
        <w:t>5</w:t>
      </w:r>
      <w:r w:rsidRPr="004F7956">
        <w:rPr>
          <w:rFonts w:cs="David"/>
          <w:rtl/>
        </w:rPr>
        <w:t xml:space="preserve"> א</w:t>
      </w:r>
      <w:r w:rsidR="00341718" w:rsidRPr="004F7956">
        <w:rPr>
          <w:rFonts w:cs="David"/>
          <w:rtl/>
        </w:rPr>
        <w:t>ובחנ</w:t>
      </w:r>
      <w:r w:rsidR="00341718" w:rsidRPr="004F7956">
        <w:rPr>
          <w:rFonts w:cs="David" w:hint="cs"/>
          <w:rtl/>
        </w:rPr>
        <w:t xml:space="preserve">ו </w:t>
      </w:r>
      <w:r w:rsidR="0072672E" w:rsidRPr="004F7956">
        <w:rPr>
          <w:rFonts w:cs="David" w:hint="cs"/>
          <w:b/>
          <w:bCs/>
          <w:rtl/>
        </w:rPr>
        <w:t>2,064</w:t>
      </w:r>
      <w:r w:rsidRPr="004F7956">
        <w:rPr>
          <w:rFonts w:cs="David"/>
          <w:b/>
          <w:bCs/>
          <w:rtl/>
        </w:rPr>
        <w:t xml:space="preserve"> </w:t>
      </w:r>
      <w:r w:rsidRPr="004F7956">
        <w:rPr>
          <w:rFonts w:cs="David"/>
          <w:rtl/>
        </w:rPr>
        <w:t xml:space="preserve">חולים חדשים עם סרטן חודרני של הערמונית, מהם  </w:t>
      </w:r>
      <w:r w:rsidR="0072672E" w:rsidRPr="004F7956">
        <w:rPr>
          <w:rFonts w:cs="David"/>
          <w:rtl/>
        </w:rPr>
        <w:t>1,829</w:t>
      </w:r>
      <w:r w:rsidRPr="004F7956">
        <w:rPr>
          <w:rFonts w:cs="David"/>
          <w:rtl/>
        </w:rPr>
        <w:t xml:space="preserve"> יהודים (</w:t>
      </w:r>
      <w:r w:rsidR="00341718" w:rsidRPr="004F7956">
        <w:rPr>
          <w:rFonts w:cs="David"/>
          <w:rtl/>
        </w:rPr>
        <w:t>89</w:t>
      </w:r>
      <w:r w:rsidRPr="004F7956">
        <w:rPr>
          <w:rFonts w:cs="David"/>
          <w:rtl/>
        </w:rPr>
        <w:t xml:space="preserve">%), </w:t>
      </w:r>
      <w:r w:rsidR="0072672E" w:rsidRPr="004F7956">
        <w:rPr>
          <w:rFonts w:cs="David"/>
          <w:rtl/>
        </w:rPr>
        <w:t xml:space="preserve">128 </w:t>
      </w:r>
      <w:r w:rsidRPr="004F7956">
        <w:rPr>
          <w:rFonts w:cs="David"/>
          <w:rtl/>
        </w:rPr>
        <w:t>ערבים (</w:t>
      </w:r>
      <w:r w:rsidR="00341718" w:rsidRPr="004F7956">
        <w:rPr>
          <w:rFonts w:cs="David"/>
          <w:rtl/>
        </w:rPr>
        <w:t>6</w:t>
      </w:r>
      <w:r w:rsidRPr="004F7956">
        <w:rPr>
          <w:rFonts w:cs="David"/>
          <w:rtl/>
        </w:rPr>
        <w:t>%) ו-</w:t>
      </w:r>
      <w:r w:rsidR="0072672E" w:rsidRPr="004F7956">
        <w:rPr>
          <w:rFonts w:cs="David"/>
          <w:rtl/>
        </w:rPr>
        <w:t xml:space="preserve">107 </w:t>
      </w:r>
      <w:r w:rsidRPr="004F7956">
        <w:rPr>
          <w:rFonts w:cs="David"/>
          <w:rtl/>
        </w:rPr>
        <w:t xml:space="preserve">חולים </w:t>
      </w:r>
      <w:r w:rsidR="00495CDF" w:rsidRPr="004F7956">
        <w:rPr>
          <w:rFonts w:cs="David" w:hint="cs"/>
          <w:rtl/>
        </w:rPr>
        <w:t>"</w:t>
      </w:r>
      <w:r w:rsidRPr="004F7956">
        <w:rPr>
          <w:rFonts w:cs="David"/>
          <w:rtl/>
        </w:rPr>
        <w:t>אחרים" (5%).</w:t>
      </w:r>
      <w:r w:rsidR="001F5EC4" w:rsidRPr="004F7956">
        <w:rPr>
          <w:rFonts w:cs="David" w:hint="cs"/>
          <w:rtl/>
        </w:rPr>
        <w:t xml:space="preserve"> </w:t>
      </w:r>
      <w:r w:rsidR="00E7599C" w:rsidRPr="004F7956">
        <w:rPr>
          <w:rFonts w:cs="David" w:hint="cs"/>
          <w:rtl/>
        </w:rPr>
        <w:t xml:space="preserve">לפי נתוני הלמ"ס, </w:t>
      </w:r>
      <w:r w:rsidR="00EF3842" w:rsidRPr="004F7956">
        <w:rPr>
          <w:rFonts w:cs="David" w:hint="cs"/>
          <w:rtl/>
        </w:rPr>
        <w:t xml:space="preserve">ההתפלגות באוכלוסייה הכללית </w:t>
      </w:r>
      <w:r w:rsidR="009F0AC4" w:rsidRPr="004F7956">
        <w:rPr>
          <w:rFonts w:cs="David" w:hint="cs"/>
          <w:rtl/>
        </w:rPr>
        <w:t>ב</w:t>
      </w:r>
      <w:r w:rsidR="00D42218" w:rsidRPr="004F7956">
        <w:rPr>
          <w:rFonts w:cs="David" w:hint="cs"/>
          <w:rtl/>
        </w:rPr>
        <w:t>ישראל ב</w:t>
      </w:r>
      <w:r w:rsidR="009F0AC4" w:rsidRPr="004F7956">
        <w:rPr>
          <w:rFonts w:cs="David" w:hint="cs"/>
          <w:rtl/>
        </w:rPr>
        <w:t>שנת 201</w:t>
      </w:r>
      <w:r w:rsidR="00555275" w:rsidRPr="004F7956">
        <w:rPr>
          <w:rFonts w:cs="David" w:hint="cs"/>
          <w:rtl/>
        </w:rPr>
        <w:t>5</w:t>
      </w:r>
      <w:r w:rsidR="009F0AC4" w:rsidRPr="004F7956">
        <w:rPr>
          <w:rFonts w:cs="David" w:hint="cs"/>
          <w:rtl/>
        </w:rPr>
        <w:t xml:space="preserve"> </w:t>
      </w:r>
      <w:r w:rsidR="00EF3842" w:rsidRPr="004F7956">
        <w:rPr>
          <w:rFonts w:cs="David" w:hint="cs"/>
          <w:rtl/>
        </w:rPr>
        <w:t xml:space="preserve">היא </w:t>
      </w:r>
      <w:r w:rsidR="0072672E" w:rsidRPr="004F7956">
        <w:rPr>
          <w:rFonts w:cs="David" w:hint="cs"/>
          <w:rtl/>
        </w:rPr>
        <w:t>74.9</w:t>
      </w:r>
      <w:r w:rsidR="00EF3842" w:rsidRPr="004F7956">
        <w:rPr>
          <w:rFonts w:cs="David"/>
          <w:rtl/>
        </w:rPr>
        <w:t xml:space="preserve">% </w:t>
      </w:r>
      <w:r w:rsidR="00EF3842" w:rsidRPr="004F7956">
        <w:rPr>
          <w:rFonts w:cs="David" w:hint="eastAsia"/>
          <w:rtl/>
        </w:rPr>
        <w:t>יהודים</w:t>
      </w:r>
      <w:r w:rsidR="00EF3842" w:rsidRPr="004F7956">
        <w:rPr>
          <w:rFonts w:cs="David"/>
          <w:rtl/>
        </w:rPr>
        <w:t>, 20.</w:t>
      </w:r>
      <w:r w:rsidR="0072672E" w:rsidRPr="004F7956">
        <w:rPr>
          <w:rFonts w:cs="David" w:hint="cs"/>
          <w:rtl/>
        </w:rPr>
        <w:t>8</w:t>
      </w:r>
      <w:r w:rsidR="00EF3842" w:rsidRPr="004F7956">
        <w:rPr>
          <w:rFonts w:cs="David"/>
          <w:rtl/>
        </w:rPr>
        <w:t xml:space="preserve">% </w:t>
      </w:r>
      <w:r w:rsidR="00EF3842" w:rsidRPr="004F7956">
        <w:rPr>
          <w:rFonts w:cs="David" w:hint="eastAsia"/>
          <w:rtl/>
        </w:rPr>
        <w:t>ערבים</w:t>
      </w:r>
      <w:r w:rsidR="00EF3842" w:rsidRPr="004F7956">
        <w:rPr>
          <w:rFonts w:cs="David"/>
          <w:rtl/>
        </w:rPr>
        <w:t xml:space="preserve"> </w:t>
      </w:r>
      <w:r w:rsidR="00EF3842" w:rsidRPr="004F7956">
        <w:rPr>
          <w:rFonts w:cs="David" w:hint="eastAsia"/>
          <w:rtl/>
        </w:rPr>
        <w:t>ו</w:t>
      </w:r>
      <w:r w:rsidR="00EF3842" w:rsidRPr="004F7956">
        <w:rPr>
          <w:rFonts w:cs="David"/>
          <w:rtl/>
        </w:rPr>
        <w:t>-4.</w:t>
      </w:r>
      <w:r w:rsidR="00EA02C4" w:rsidRPr="004F7956">
        <w:rPr>
          <w:rFonts w:cs="David"/>
          <w:rtl/>
        </w:rPr>
        <w:t>3</w:t>
      </w:r>
      <w:r w:rsidR="00EF3842" w:rsidRPr="004F7956">
        <w:rPr>
          <w:rFonts w:cs="David"/>
          <w:rtl/>
        </w:rPr>
        <w:t>% "אחרים"</w:t>
      </w:r>
      <w:r w:rsidR="00EF3842" w:rsidRPr="004F7956">
        <w:rPr>
          <w:rFonts w:cs="David" w:hint="cs"/>
          <w:rtl/>
        </w:rPr>
        <w:t>.</w:t>
      </w:r>
    </w:p>
    <w:p w:rsidR="00EA02C4" w:rsidRPr="004F7956" w:rsidRDefault="00A617D7" w:rsidP="000477DD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/>
          <w:rtl/>
        </w:rPr>
        <w:t>שיעורי ה</w:t>
      </w:r>
      <w:r w:rsidR="001F5EC4" w:rsidRPr="004F7956">
        <w:rPr>
          <w:rFonts w:cs="David" w:hint="cs"/>
          <w:rtl/>
        </w:rPr>
        <w:t xml:space="preserve">היארעות </w:t>
      </w:r>
      <w:r w:rsidRPr="004F7956">
        <w:rPr>
          <w:rFonts w:cs="David"/>
          <w:rtl/>
        </w:rPr>
        <w:t>המתוקננים לגיל</w:t>
      </w:r>
      <w:r w:rsidRPr="004F7956">
        <w:rPr>
          <w:rStyle w:val="a5"/>
          <w:rFonts w:cs="David"/>
          <w:rtl/>
        </w:rPr>
        <w:footnoteReference w:id="2"/>
      </w:r>
      <w:r w:rsidRPr="004F7956">
        <w:rPr>
          <w:rFonts w:cs="David"/>
          <w:rtl/>
        </w:rPr>
        <w:t xml:space="preserve"> </w:t>
      </w:r>
      <w:r w:rsidR="008C2492" w:rsidRPr="004F7956">
        <w:rPr>
          <w:rFonts w:cs="David" w:hint="cs"/>
          <w:rtl/>
        </w:rPr>
        <w:t xml:space="preserve">ל-100,000 </w:t>
      </w:r>
      <w:r w:rsidRPr="004F7956">
        <w:rPr>
          <w:rFonts w:cs="David"/>
          <w:rtl/>
        </w:rPr>
        <w:t xml:space="preserve">של סרטן </w:t>
      </w:r>
      <w:r w:rsidR="00665A6A" w:rsidRPr="004F7956">
        <w:rPr>
          <w:rFonts w:cs="David" w:hint="eastAsia"/>
          <w:b/>
          <w:bCs/>
          <w:rtl/>
        </w:rPr>
        <w:t>חודרני</w:t>
      </w:r>
      <w:r w:rsidR="00665A6A" w:rsidRPr="004F7956">
        <w:rPr>
          <w:rFonts w:cs="David"/>
          <w:rtl/>
        </w:rPr>
        <w:t xml:space="preserve"> של </w:t>
      </w:r>
      <w:r w:rsidRPr="004F7956">
        <w:rPr>
          <w:rFonts w:cs="David"/>
          <w:rtl/>
        </w:rPr>
        <w:t>הערמונית</w:t>
      </w:r>
      <w:r w:rsidR="00EA02C4" w:rsidRPr="004F7956">
        <w:rPr>
          <w:rFonts w:cs="David"/>
          <w:rtl/>
        </w:rPr>
        <w:t xml:space="preserve"> בשנת 201</w:t>
      </w:r>
      <w:r w:rsidR="00555275" w:rsidRPr="004F7956">
        <w:rPr>
          <w:rFonts w:cs="David"/>
          <w:rtl/>
        </w:rPr>
        <w:t>5</w:t>
      </w:r>
      <w:r w:rsidR="00AE36B9" w:rsidRPr="004F7956">
        <w:rPr>
          <w:rFonts w:cs="David"/>
          <w:rtl/>
        </w:rPr>
        <w:t xml:space="preserve"> </w:t>
      </w:r>
      <w:r w:rsidR="002E0630" w:rsidRPr="004F7956">
        <w:rPr>
          <w:rFonts w:cs="David" w:hint="eastAsia"/>
          <w:rtl/>
        </w:rPr>
        <w:t>היו</w:t>
      </w:r>
      <w:r w:rsidR="002E0630" w:rsidRPr="004F7956">
        <w:rPr>
          <w:rFonts w:cs="David"/>
          <w:rtl/>
        </w:rPr>
        <w:t xml:space="preserve"> </w:t>
      </w:r>
      <w:r w:rsidR="000477DD" w:rsidRPr="004F7956">
        <w:rPr>
          <w:rFonts w:cs="David"/>
          <w:rtl/>
        </w:rPr>
        <w:t xml:space="preserve">41.1 </w:t>
      </w:r>
      <w:r w:rsidR="00EA02C4" w:rsidRPr="004F7956">
        <w:rPr>
          <w:rFonts w:cs="David" w:hint="eastAsia"/>
          <w:rtl/>
        </w:rPr>
        <w:t>ביהודים</w:t>
      </w:r>
      <w:r w:rsidR="004D7C2F" w:rsidRPr="004F7956">
        <w:rPr>
          <w:rFonts w:cs="David"/>
          <w:rtl/>
        </w:rPr>
        <w:t xml:space="preserve">, </w:t>
      </w:r>
      <w:r w:rsidR="000477DD" w:rsidRPr="004F7956">
        <w:rPr>
          <w:rFonts w:cs="David"/>
          <w:rtl/>
        </w:rPr>
        <w:t>24.5</w:t>
      </w:r>
      <w:r w:rsidR="00EA02C4" w:rsidRPr="004F7956">
        <w:rPr>
          <w:rFonts w:cs="David"/>
          <w:rtl/>
        </w:rPr>
        <w:t xml:space="preserve"> בערבים</w:t>
      </w:r>
      <w:r w:rsidR="004D7C2F" w:rsidRPr="004F7956">
        <w:rPr>
          <w:rFonts w:cs="David"/>
          <w:rtl/>
        </w:rPr>
        <w:t xml:space="preserve">, </w:t>
      </w:r>
      <w:r w:rsidR="004D7C2F" w:rsidRPr="004F7956">
        <w:rPr>
          <w:rFonts w:cs="David" w:hint="eastAsia"/>
          <w:rtl/>
        </w:rPr>
        <w:t>ו</w:t>
      </w:r>
      <w:r w:rsidR="004D7C2F" w:rsidRPr="004F7956">
        <w:rPr>
          <w:rFonts w:cs="David"/>
          <w:rtl/>
        </w:rPr>
        <w:t>-</w:t>
      </w:r>
      <w:r w:rsidR="000477DD" w:rsidRPr="004F7956">
        <w:rPr>
          <w:rFonts w:cs="David"/>
          <w:rtl/>
        </w:rPr>
        <w:t>57.4</w:t>
      </w:r>
      <w:r w:rsidR="004D7C2F" w:rsidRPr="004F7956">
        <w:rPr>
          <w:rFonts w:cs="David"/>
          <w:rtl/>
        </w:rPr>
        <w:t xml:space="preserve"> ב"אחרים".</w:t>
      </w:r>
    </w:p>
    <w:p w:rsidR="004D7C2F" w:rsidRPr="004F7956" w:rsidRDefault="004D7C2F" w:rsidP="00555275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המגמות העתיות של סרטן הערמונית בין השנים 1990 ו-201</w:t>
      </w:r>
      <w:r w:rsidR="00555275" w:rsidRPr="004F7956">
        <w:rPr>
          <w:rFonts w:cs="David" w:hint="cs"/>
          <w:rtl/>
        </w:rPr>
        <w:t>5</w:t>
      </w:r>
      <w:r w:rsidRPr="004F7956">
        <w:rPr>
          <w:rFonts w:cs="David" w:hint="cs"/>
          <w:rtl/>
        </w:rPr>
        <w:t xml:space="preserve"> נבחנו באמצעות תכנת </w:t>
      </w:r>
      <w:r w:rsidRPr="004F7956">
        <w:rPr>
          <w:rFonts w:cs="David"/>
        </w:rPr>
        <w:t>JoinPoint</w:t>
      </w:r>
      <w:r w:rsidRPr="004F7956">
        <w:rPr>
          <w:rFonts w:cs="David" w:hint="cs"/>
          <w:rtl/>
        </w:rPr>
        <w:t xml:space="preserve">, המאפשרת לזהות שינוי מובהק במגמה ולחשב את אחוז השינוי השנתי הממוצע </w:t>
      </w:r>
      <w:r w:rsidRPr="004F7956">
        <w:rPr>
          <w:rFonts w:cs="David"/>
        </w:rPr>
        <w:t>(Annual Percent Change, APC)</w:t>
      </w:r>
      <w:r w:rsidRPr="004F7956">
        <w:rPr>
          <w:rFonts w:cs="David" w:hint="cs"/>
          <w:rtl/>
        </w:rPr>
        <w:t xml:space="preserve">. </w:t>
      </w:r>
      <w:r w:rsidR="008C2492" w:rsidRPr="004F7956">
        <w:rPr>
          <w:rFonts w:cs="David" w:hint="cs"/>
          <w:rtl/>
        </w:rPr>
        <w:t>בגלל חוסר מידע לגבי שיעור ההיארעות ב"אחרים" עבור השנים המוקדמות יותר, לא מוצגות עבורם המגמות העתיות.</w:t>
      </w:r>
    </w:p>
    <w:p w:rsidR="008C2492" w:rsidRPr="004F7956" w:rsidRDefault="00EA02C4" w:rsidP="00AF7884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ב</w:t>
      </w:r>
      <w:r w:rsidR="002D07E1" w:rsidRPr="004F7956">
        <w:rPr>
          <w:rFonts w:cs="David" w:hint="cs"/>
          <w:rtl/>
        </w:rPr>
        <w:t xml:space="preserve">גברים </w:t>
      </w:r>
      <w:r w:rsidRPr="004F7956">
        <w:rPr>
          <w:rFonts w:cs="David" w:hint="cs"/>
          <w:rtl/>
        </w:rPr>
        <w:t xml:space="preserve">יהודים </w:t>
      </w:r>
      <w:r w:rsidR="00A45138" w:rsidRPr="004F7956">
        <w:rPr>
          <w:rFonts w:cs="David" w:hint="cs"/>
          <w:rtl/>
        </w:rPr>
        <w:t>היו</w:t>
      </w:r>
      <w:r w:rsidRPr="004F7956">
        <w:rPr>
          <w:rFonts w:cs="David" w:hint="cs"/>
          <w:rtl/>
        </w:rPr>
        <w:t xml:space="preserve"> שיעורי ההיארעות של סרטן הערמונית במגמת עלייה </w:t>
      </w:r>
      <w:r w:rsidRPr="004F7956">
        <w:rPr>
          <w:rFonts w:cs="David" w:hint="cs"/>
          <w:b/>
          <w:bCs/>
          <w:rtl/>
        </w:rPr>
        <w:t>מובהקת</w:t>
      </w:r>
      <w:r w:rsidRPr="004F7956">
        <w:rPr>
          <w:rFonts w:cs="David" w:hint="cs"/>
          <w:rtl/>
        </w:rPr>
        <w:t xml:space="preserve"> בשנים 1990-199</w:t>
      </w:r>
      <w:r w:rsidR="00FE525F" w:rsidRPr="004F7956">
        <w:rPr>
          <w:rFonts w:cs="David" w:hint="cs"/>
          <w:rtl/>
        </w:rPr>
        <w:t>4</w:t>
      </w:r>
      <w:r w:rsidRPr="004F7956">
        <w:rPr>
          <w:rFonts w:cs="David" w:hint="cs"/>
          <w:rtl/>
        </w:rPr>
        <w:t xml:space="preserve"> </w:t>
      </w:r>
      <w:r w:rsidR="004D7C2F" w:rsidRPr="004F7956">
        <w:rPr>
          <w:rFonts w:cs="David" w:hint="cs"/>
          <w:rtl/>
        </w:rPr>
        <w:t xml:space="preserve">עם </w:t>
      </w:r>
      <w:r w:rsidRPr="004F7956">
        <w:rPr>
          <w:rFonts w:cs="David" w:hint="cs"/>
          <w:rtl/>
        </w:rPr>
        <w:t>אחוז שינוי שנתי</w:t>
      </w:r>
      <w:r w:rsidR="00D42218" w:rsidRPr="004F7956">
        <w:rPr>
          <w:rFonts w:cs="David" w:hint="cs"/>
          <w:rtl/>
        </w:rPr>
        <w:t xml:space="preserve"> </w:t>
      </w:r>
      <w:r w:rsidR="004D7C2F" w:rsidRPr="004F7956">
        <w:rPr>
          <w:rFonts w:cs="David" w:hint="cs"/>
          <w:rtl/>
        </w:rPr>
        <w:t>של 1</w:t>
      </w:r>
      <w:r w:rsidR="00140694" w:rsidRPr="004F7956">
        <w:rPr>
          <w:rFonts w:cs="David" w:hint="cs"/>
          <w:rtl/>
        </w:rPr>
        <w:t>5</w:t>
      </w:r>
      <w:r w:rsidR="00A45138" w:rsidRPr="004F7956">
        <w:rPr>
          <w:rFonts w:cs="David" w:hint="cs"/>
          <w:rtl/>
        </w:rPr>
        <w:t>.</w:t>
      </w:r>
      <w:r w:rsidR="00140694" w:rsidRPr="004F7956">
        <w:rPr>
          <w:rFonts w:cs="David" w:hint="cs"/>
          <w:rtl/>
        </w:rPr>
        <w:t>6</w:t>
      </w:r>
      <w:r w:rsidR="002D07E1" w:rsidRPr="004F7956">
        <w:rPr>
          <w:rFonts w:cs="David" w:hint="cs"/>
          <w:rtl/>
        </w:rPr>
        <w:t>%+</w:t>
      </w:r>
      <w:r w:rsidR="004D7C2F" w:rsidRPr="004F7956">
        <w:rPr>
          <w:rFonts w:cs="David" w:hint="cs"/>
          <w:rtl/>
        </w:rPr>
        <w:t>. גם בשנים  199</w:t>
      </w:r>
      <w:r w:rsidR="00140694" w:rsidRPr="004F7956">
        <w:rPr>
          <w:rFonts w:cs="David" w:hint="cs"/>
          <w:rtl/>
        </w:rPr>
        <w:t>4</w:t>
      </w:r>
      <w:r w:rsidR="004D7C2F" w:rsidRPr="004F7956">
        <w:rPr>
          <w:rFonts w:cs="David" w:hint="cs"/>
          <w:rtl/>
        </w:rPr>
        <w:t>-2007 נצפתה עלייה מובהקת במגמה, אם כי ב</w:t>
      </w:r>
      <w:r w:rsidR="00AF7884" w:rsidRPr="004F7956">
        <w:rPr>
          <w:rFonts w:cs="David" w:hint="cs"/>
          <w:rtl/>
        </w:rPr>
        <w:t>קצב</w:t>
      </w:r>
      <w:r w:rsidR="004D7C2F" w:rsidRPr="004F7956">
        <w:rPr>
          <w:rFonts w:cs="David" w:hint="cs"/>
          <w:rtl/>
        </w:rPr>
        <w:t xml:space="preserve"> נמוך יותר </w:t>
      </w:r>
      <w:r w:rsidR="00AF7884" w:rsidRPr="004F7956">
        <w:rPr>
          <w:rFonts w:cs="David"/>
        </w:rPr>
        <w:t>(APC=+4.0%)</w:t>
      </w:r>
      <w:r w:rsidR="00A45138" w:rsidRPr="004F7956">
        <w:rPr>
          <w:rFonts w:cs="David" w:hint="cs"/>
          <w:rtl/>
        </w:rPr>
        <w:t xml:space="preserve"> בשנים 2008-</w:t>
      </w:r>
      <w:r w:rsidR="00E0265C" w:rsidRPr="004F7956">
        <w:rPr>
          <w:rFonts w:cs="David" w:hint="cs"/>
          <w:rtl/>
        </w:rPr>
        <w:t>2015</w:t>
      </w:r>
      <w:r w:rsidR="00A45138" w:rsidRPr="004F7956">
        <w:rPr>
          <w:rFonts w:cs="David" w:hint="cs"/>
          <w:rtl/>
        </w:rPr>
        <w:t xml:space="preserve">, </w:t>
      </w:r>
      <w:r w:rsidR="00EE66A8" w:rsidRPr="004F7956">
        <w:rPr>
          <w:rFonts w:cs="David" w:hint="cs"/>
          <w:rtl/>
        </w:rPr>
        <w:t xml:space="preserve">לעומת זאת, </w:t>
      </w:r>
      <w:r w:rsidR="00A45138" w:rsidRPr="004F7956">
        <w:rPr>
          <w:rFonts w:cs="David" w:hint="cs"/>
          <w:rtl/>
        </w:rPr>
        <w:t xml:space="preserve">נצפתה מגמת ירידה </w:t>
      </w:r>
      <w:r w:rsidR="00A45138" w:rsidRPr="004F7956">
        <w:rPr>
          <w:rFonts w:cs="David" w:hint="cs"/>
          <w:b/>
          <w:bCs/>
          <w:rtl/>
        </w:rPr>
        <w:t>מובהקת</w:t>
      </w:r>
      <w:r w:rsidR="00A45138" w:rsidRPr="004F7956">
        <w:rPr>
          <w:rFonts w:cs="David" w:hint="cs"/>
          <w:rtl/>
        </w:rPr>
        <w:t xml:space="preserve"> ב</w:t>
      </w:r>
      <w:r w:rsidR="00140694" w:rsidRPr="004F7956">
        <w:rPr>
          <w:rFonts w:cs="David" w:hint="cs"/>
          <w:rtl/>
        </w:rPr>
        <w:t>היארעות המחלה</w:t>
      </w:r>
      <w:r w:rsidR="008C2492" w:rsidRPr="004F7956">
        <w:rPr>
          <w:rFonts w:cs="David" w:hint="cs"/>
          <w:rtl/>
        </w:rPr>
        <w:t xml:space="preserve"> (</w:t>
      </w:r>
      <w:r w:rsidR="008C2492" w:rsidRPr="004F7956">
        <w:rPr>
          <w:rFonts w:cs="David"/>
        </w:rPr>
        <w:t>APC=-</w:t>
      </w:r>
      <w:r w:rsidR="00140694" w:rsidRPr="004F7956">
        <w:rPr>
          <w:rFonts w:cs="David"/>
        </w:rPr>
        <w:t>6</w:t>
      </w:r>
      <w:r w:rsidR="008C2492" w:rsidRPr="004F7956">
        <w:rPr>
          <w:rFonts w:cs="David"/>
        </w:rPr>
        <w:t>.</w:t>
      </w:r>
      <w:r w:rsidR="00DE5683" w:rsidRPr="004F7956">
        <w:rPr>
          <w:rFonts w:cs="David"/>
        </w:rPr>
        <w:t>9</w:t>
      </w:r>
      <w:r w:rsidR="008C2492" w:rsidRPr="004F7956">
        <w:rPr>
          <w:rFonts w:cs="David"/>
        </w:rPr>
        <w:t>%</w:t>
      </w:r>
      <w:r w:rsidR="008C2492" w:rsidRPr="004F7956">
        <w:rPr>
          <w:rFonts w:cs="David" w:hint="cs"/>
          <w:rtl/>
        </w:rPr>
        <w:t xml:space="preserve">). </w:t>
      </w:r>
    </w:p>
    <w:p w:rsidR="00B95080" w:rsidRPr="004F7956" w:rsidRDefault="00A45138" w:rsidP="00BF4927">
      <w:pPr>
        <w:bidi/>
        <w:spacing w:line="360" w:lineRule="auto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ב</w:t>
      </w:r>
      <w:r w:rsidR="002D07E1" w:rsidRPr="004F7956">
        <w:rPr>
          <w:rFonts w:cs="David" w:hint="cs"/>
          <w:rtl/>
        </w:rPr>
        <w:t xml:space="preserve">גברים </w:t>
      </w:r>
      <w:r w:rsidRPr="004F7956">
        <w:rPr>
          <w:rFonts w:cs="David" w:hint="cs"/>
          <w:rtl/>
        </w:rPr>
        <w:t xml:space="preserve">ערבים </w:t>
      </w:r>
      <w:r w:rsidR="00EE66A8" w:rsidRPr="004F7956">
        <w:rPr>
          <w:rFonts w:cs="David" w:hint="cs"/>
          <w:rtl/>
        </w:rPr>
        <w:t xml:space="preserve">נצפו מגמות דומות: עלייה </w:t>
      </w:r>
      <w:r w:rsidR="00EE66A8" w:rsidRPr="004F7956">
        <w:rPr>
          <w:rFonts w:cs="David" w:hint="cs"/>
          <w:b/>
          <w:bCs/>
          <w:rtl/>
        </w:rPr>
        <w:t>מובהקת</w:t>
      </w:r>
      <w:r w:rsidR="00EE66A8" w:rsidRPr="004F7956">
        <w:rPr>
          <w:rFonts w:cs="David" w:hint="cs"/>
          <w:rtl/>
        </w:rPr>
        <w:t xml:space="preserve"> בשיעורי ההיארעות של סרטן הערמונית ב</w:t>
      </w:r>
      <w:r w:rsidR="00AF7884" w:rsidRPr="004F7956">
        <w:rPr>
          <w:rFonts w:cs="David" w:hint="cs"/>
          <w:rtl/>
        </w:rPr>
        <w:t>ין ה</w:t>
      </w:r>
      <w:r w:rsidR="00EE66A8" w:rsidRPr="004F7956">
        <w:rPr>
          <w:rFonts w:cs="David" w:hint="cs"/>
          <w:rtl/>
        </w:rPr>
        <w:t>שנים 1990</w:t>
      </w:r>
      <w:r w:rsidR="00140694" w:rsidRPr="004F7956">
        <w:rPr>
          <w:rFonts w:cs="David" w:hint="cs"/>
          <w:rtl/>
        </w:rPr>
        <w:t xml:space="preserve">-2005 </w:t>
      </w:r>
      <w:r w:rsidR="008C2492" w:rsidRPr="004F7956">
        <w:rPr>
          <w:rFonts w:cs="David" w:hint="cs"/>
          <w:rtl/>
        </w:rPr>
        <w:t>(</w:t>
      </w:r>
      <w:r w:rsidR="008C2492" w:rsidRPr="004F7956">
        <w:rPr>
          <w:rFonts w:cs="David"/>
        </w:rPr>
        <w:t>APC=+</w:t>
      </w:r>
      <w:r w:rsidR="00140694" w:rsidRPr="004F7956">
        <w:rPr>
          <w:rFonts w:cs="David"/>
        </w:rPr>
        <w:t>8</w:t>
      </w:r>
      <w:r w:rsidR="008C2492" w:rsidRPr="004F7956">
        <w:rPr>
          <w:rFonts w:cs="David"/>
        </w:rPr>
        <w:t>.2%</w:t>
      </w:r>
      <w:r w:rsidR="008C2492" w:rsidRPr="004F7956">
        <w:rPr>
          <w:rFonts w:cs="David" w:hint="cs"/>
          <w:rtl/>
        </w:rPr>
        <w:t xml:space="preserve">) </w:t>
      </w:r>
      <w:r w:rsidR="00EE66A8" w:rsidRPr="004F7956">
        <w:rPr>
          <w:rFonts w:cs="David" w:hint="cs"/>
          <w:rtl/>
        </w:rPr>
        <w:t>ו</w:t>
      </w:r>
      <w:r w:rsidR="00140694" w:rsidRPr="004F7956">
        <w:rPr>
          <w:rFonts w:cs="David" w:hint="cs"/>
          <w:rtl/>
        </w:rPr>
        <w:t xml:space="preserve">ירידה מובהקת בהיארעות </w:t>
      </w:r>
      <w:r w:rsidR="008C2492" w:rsidRPr="004F7956">
        <w:rPr>
          <w:rFonts w:cs="David" w:hint="cs"/>
          <w:rtl/>
        </w:rPr>
        <w:t xml:space="preserve">בשנים </w:t>
      </w:r>
      <w:r w:rsidR="00140694" w:rsidRPr="004F7956">
        <w:rPr>
          <w:rFonts w:cs="David" w:hint="cs"/>
          <w:rtl/>
        </w:rPr>
        <w:t>200</w:t>
      </w:r>
      <w:r w:rsidR="00EE66A8" w:rsidRPr="004F7956">
        <w:rPr>
          <w:rFonts w:cs="David" w:hint="cs"/>
          <w:rtl/>
        </w:rPr>
        <w:t>5-</w:t>
      </w:r>
      <w:r w:rsidR="00D913EB" w:rsidRPr="004F7956">
        <w:rPr>
          <w:rFonts w:cs="David" w:hint="cs"/>
          <w:rtl/>
        </w:rPr>
        <w:t xml:space="preserve">2015 </w:t>
      </w:r>
      <w:r w:rsidR="008C2492" w:rsidRPr="004F7956">
        <w:rPr>
          <w:rFonts w:cs="David" w:hint="cs"/>
          <w:rtl/>
        </w:rPr>
        <w:t>(</w:t>
      </w:r>
      <w:r w:rsidR="008C2492" w:rsidRPr="004F7956">
        <w:rPr>
          <w:rFonts w:cs="David"/>
        </w:rPr>
        <w:t>APC=</w:t>
      </w:r>
      <w:r w:rsidR="00140694" w:rsidRPr="004F7956">
        <w:rPr>
          <w:rFonts w:cs="David"/>
        </w:rPr>
        <w:t>-3</w:t>
      </w:r>
      <w:r w:rsidR="008C2492" w:rsidRPr="004F7956">
        <w:rPr>
          <w:rFonts w:cs="David"/>
        </w:rPr>
        <w:t>.</w:t>
      </w:r>
      <w:r w:rsidR="00140694" w:rsidRPr="004F7956">
        <w:rPr>
          <w:rFonts w:cs="David"/>
        </w:rPr>
        <w:t>9</w:t>
      </w:r>
      <w:r w:rsidR="008C2492" w:rsidRPr="004F7956">
        <w:rPr>
          <w:rFonts w:cs="David"/>
        </w:rPr>
        <w:t>%</w:t>
      </w:r>
      <w:r w:rsidR="008C2492" w:rsidRPr="004F7956">
        <w:rPr>
          <w:rFonts w:cs="David" w:hint="cs"/>
          <w:rtl/>
        </w:rPr>
        <w:t>)</w:t>
      </w:r>
      <w:r w:rsidR="00140694" w:rsidRPr="004F7956">
        <w:rPr>
          <w:rFonts w:cs="David"/>
        </w:rPr>
        <w:t xml:space="preserve"> </w:t>
      </w:r>
      <w:r w:rsidR="00B95080" w:rsidRPr="004F7956">
        <w:rPr>
          <w:rFonts w:cs="David" w:hint="cs"/>
          <w:rtl/>
        </w:rPr>
        <w:t>(תרשים 1)</w:t>
      </w:r>
      <w:r w:rsidR="00B95080" w:rsidRPr="004F7956">
        <w:rPr>
          <w:rFonts w:cs="David"/>
          <w:rtl/>
        </w:rPr>
        <w:t xml:space="preserve">.   </w:t>
      </w:r>
    </w:p>
    <w:p w:rsidR="00DE5683" w:rsidRPr="00DE5683" w:rsidRDefault="00DE5683" w:rsidP="00555275">
      <w:pPr>
        <w:bidi/>
        <w:spacing w:line="360" w:lineRule="auto"/>
        <w:jc w:val="both"/>
        <w:rPr>
          <w:rFonts w:cs="David"/>
          <w:sz w:val="18"/>
          <w:szCs w:val="18"/>
          <w:rtl/>
        </w:rPr>
      </w:pPr>
    </w:p>
    <w:p w:rsidR="00DE5683" w:rsidRPr="00DE5683" w:rsidRDefault="00DE5683">
      <w:pPr>
        <w:widowControl/>
        <w:suppressAutoHyphens w:val="0"/>
        <w:rPr>
          <w:rFonts w:cs="David"/>
          <w:sz w:val="18"/>
          <w:szCs w:val="18"/>
          <w:rtl/>
        </w:rPr>
      </w:pPr>
      <w:r w:rsidRPr="00DE5683">
        <w:rPr>
          <w:rFonts w:cs="David"/>
          <w:sz w:val="18"/>
          <w:szCs w:val="18"/>
          <w:rtl/>
        </w:rPr>
        <w:br w:type="page"/>
      </w:r>
    </w:p>
    <w:p w:rsidR="00706E26" w:rsidRDefault="00B95080" w:rsidP="00DE5683">
      <w:pPr>
        <w:bidi/>
        <w:spacing w:line="360" w:lineRule="auto"/>
        <w:rPr>
          <w:rFonts w:cs="David"/>
          <w:rtl/>
        </w:rPr>
      </w:pPr>
      <w:r w:rsidRPr="00DE5683">
        <w:rPr>
          <w:rFonts w:cs="David" w:hint="cs"/>
          <w:sz w:val="18"/>
          <w:szCs w:val="18"/>
          <w:rtl/>
        </w:rPr>
        <w:lastRenderedPageBreak/>
        <w:t xml:space="preserve">תרשים 1: </w:t>
      </w:r>
      <w:r w:rsidR="00433C96" w:rsidRPr="00DE5683">
        <w:rPr>
          <w:rFonts w:cs="David" w:hint="cs"/>
          <w:b/>
          <w:bCs/>
          <w:sz w:val="18"/>
          <w:szCs w:val="18"/>
          <w:rtl/>
        </w:rPr>
        <w:t>מגמות ב</w:t>
      </w:r>
      <w:r w:rsidRPr="00DE5683">
        <w:rPr>
          <w:rFonts w:cs="David" w:hint="cs"/>
          <w:b/>
          <w:bCs/>
          <w:sz w:val="18"/>
          <w:szCs w:val="18"/>
          <w:rtl/>
        </w:rPr>
        <w:t>סרטן חודרני של הערמונית לפי קבוצת אוכלוסייה,  ישראל 1990-201</w:t>
      </w:r>
      <w:r w:rsidR="00555275" w:rsidRPr="00DE5683">
        <w:rPr>
          <w:rFonts w:cs="David" w:hint="cs"/>
          <w:b/>
          <w:bCs/>
          <w:sz w:val="18"/>
          <w:szCs w:val="18"/>
          <w:rtl/>
        </w:rPr>
        <w:t>5</w:t>
      </w:r>
      <w:r w:rsidR="00433C96" w:rsidRPr="00DE5683">
        <w:rPr>
          <w:rFonts w:cs="David" w:hint="cs"/>
          <w:b/>
          <w:bCs/>
          <w:sz w:val="18"/>
          <w:szCs w:val="18"/>
          <w:rtl/>
        </w:rPr>
        <w:t xml:space="preserve"> </w:t>
      </w:r>
      <w:r w:rsidR="00433C96" w:rsidRPr="00DE5683">
        <w:rPr>
          <w:rFonts w:cs="David"/>
          <w:color w:val="1F497D" w:themeColor="text2"/>
          <w:sz w:val="18"/>
          <w:szCs w:val="18"/>
        </w:rPr>
        <w:t>(Jointpoint</w:t>
      </w:r>
      <w:r w:rsidR="00433C96" w:rsidRPr="00DE5683">
        <w:rPr>
          <w:rFonts w:cs="David"/>
          <w:b/>
          <w:bCs/>
          <w:sz w:val="18"/>
          <w:szCs w:val="18"/>
        </w:rPr>
        <w:t>)</w:t>
      </w:r>
      <w:r w:rsidR="00706E26">
        <w:rPr>
          <w:noProof/>
          <w:lang w:eastAsia="en-US"/>
        </w:rPr>
        <w:drawing>
          <wp:inline distT="0" distB="0" distL="0" distR="0" wp14:anchorId="1C6068B3" wp14:editId="49D994A4">
            <wp:extent cx="5274310" cy="3444875"/>
            <wp:effectExtent l="0" t="0" r="21590" b="222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6E26" w:rsidRPr="00A935EE" w:rsidRDefault="00706E26" w:rsidP="00BF4927">
      <w:pPr>
        <w:bidi/>
        <w:spacing w:line="360" w:lineRule="auto"/>
        <w:jc w:val="both"/>
        <w:rPr>
          <w:rFonts w:cs="David"/>
          <w:rtl/>
        </w:rPr>
      </w:pPr>
    </w:p>
    <w:p w:rsidR="0061780A" w:rsidRPr="009C5C23" w:rsidRDefault="0061780A" w:rsidP="009B2520">
      <w:pPr>
        <w:bidi/>
        <w:spacing w:line="360" w:lineRule="auto"/>
        <w:jc w:val="both"/>
        <w:rPr>
          <w:rFonts w:cs="David"/>
          <w:b/>
          <w:bCs/>
          <w:color w:val="0000FF"/>
          <w:sz w:val="28"/>
          <w:szCs w:val="28"/>
          <w:rtl/>
        </w:rPr>
      </w:pPr>
      <w:r w:rsidRPr="009C5C23">
        <w:rPr>
          <w:rFonts w:cs="David" w:hint="cs"/>
          <w:b/>
          <w:bCs/>
          <w:color w:val="0000FF"/>
          <w:sz w:val="28"/>
          <w:szCs w:val="28"/>
        </w:rPr>
        <w:sym w:font="Wingdings 3" w:char="F074"/>
      </w:r>
      <w:r w:rsidRPr="009C5C23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Pr="009C5C23">
        <w:rPr>
          <w:rFonts w:cs="David" w:hint="cs"/>
          <w:b/>
          <w:bCs/>
          <w:color w:val="0000FF"/>
          <w:kern w:val="28"/>
          <w:sz w:val="28"/>
          <w:szCs w:val="28"/>
          <w:rtl/>
        </w:rPr>
        <w:t>שיעורי התחלואה בסרטן הערמונית לפי גיל</w:t>
      </w:r>
      <w:r w:rsidR="0004404B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="0004404B" w:rsidRPr="00446162">
        <w:rPr>
          <w:rFonts w:cs="David" w:hint="cs"/>
          <w:b/>
          <w:bCs/>
          <w:color w:val="0000FF"/>
          <w:sz w:val="28"/>
          <w:szCs w:val="28"/>
          <w:rtl/>
        </w:rPr>
        <w:t>וקבוצת אוכלוסייה</w:t>
      </w:r>
    </w:p>
    <w:p w:rsidR="0035402C" w:rsidRDefault="00F96C54" w:rsidP="00E60126">
      <w:pPr>
        <w:bidi/>
        <w:spacing w:line="360" w:lineRule="auto"/>
        <w:jc w:val="both"/>
        <w:rPr>
          <w:rFonts w:cs="David"/>
          <w:rtl/>
        </w:rPr>
      </w:pPr>
      <w:r w:rsidRPr="00AF7884">
        <w:rPr>
          <w:rFonts w:cs="David" w:hint="cs"/>
          <w:rtl/>
        </w:rPr>
        <w:t xml:space="preserve">שיעורי ההיארעות </w:t>
      </w:r>
      <w:r w:rsidR="00EB3358" w:rsidRPr="00AF7884">
        <w:rPr>
          <w:rFonts w:cs="David" w:hint="cs"/>
          <w:rtl/>
        </w:rPr>
        <w:t>של סרטן חוד</w:t>
      </w:r>
      <w:r w:rsidRPr="00AF7884">
        <w:rPr>
          <w:rFonts w:cs="David" w:hint="cs"/>
          <w:rtl/>
        </w:rPr>
        <w:t xml:space="preserve">רני של הערמונית עולים באופן ברור </w:t>
      </w:r>
      <w:r w:rsidRPr="00AF7884">
        <w:rPr>
          <w:rFonts w:cs="David" w:hint="eastAsia"/>
          <w:rtl/>
        </w:rPr>
        <w:t>החל</w:t>
      </w:r>
      <w:r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מגיל</w:t>
      </w:r>
      <w:r w:rsidRPr="00AF7884">
        <w:rPr>
          <w:rFonts w:cs="David"/>
          <w:rtl/>
        </w:rPr>
        <w:t xml:space="preserve"> 50</w:t>
      </w:r>
      <w:r w:rsidRPr="00AF7884">
        <w:rPr>
          <w:rFonts w:cs="David" w:hint="cs"/>
          <w:rtl/>
        </w:rPr>
        <w:t xml:space="preserve"> </w:t>
      </w:r>
      <w:r w:rsidR="00E765AE" w:rsidRPr="00AF7884">
        <w:rPr>
          <w:rFonts w:cs="David" w:hint="cs"/>
          <w:rtl/>
        </w:rPr>
        <w:t>בכ</w:t>
      </w:r>
      <w:r w:rsidR="00E765AE" w:rsidRPr="00AF7884">
        <w:rPr>
          <w:rFonts w:cs="David" w:hint="eastAsia"/>
          <w:rtl/>
        </w:rPr>
        <w:t>ל</w:t>
      </w:r>
      <w:r w:rsidR="00E765AE"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קבוצות</w:t>
      </w:r>
      <w:r w:rsidRPr="00AF7884">
        <w:rPr>
          <w:rFonts w:cs="David"/>
          <w:rtl/>
        </w:rPr>
        <w:t xml:space="preserve"> האוכלוסייה. </w:t>
      </w:r>
      <w:r w:rsidR="002255D2" w:rsidRPr="00AF7884">
        <w:rPr>
          <w:rFonts w:cs="David" w:hint="cs"/>
          <w:rtl/>
        </w:rPr>
        <w:t xml:space="preserve">שיא התחלואה ביהודים </w:t>
      </w:r>
      <w:r w:rsidR="0035402C">
        <w:rPr>
          <w:rFonts w:cs="David" w:hint="cs"/>
          <w:rtl/>
        </w:rPr>
        <w:t xml:space="preserve">וב"אחרים" </w:t>
      </w:r>
      <w:r w:rsidR="002255D2" w:rsidRPr="00AF7884">
        <w:rPr>
          <w:rFonts w:cs="David" w:hint="cs"/>
          <w:rtl/>
        </w:rPr>
        <w:t>ה</w:t>
      </w:r>
      <w:r w:rsidR="00140694" w:rsidRPr="00AF7884">
        <w:rPr>
          <w:rFonts w:cs="David" w:hint="cs"/>
          <w:rtl/>
        </w:rPr>
        <w:t xml:space="preserve">יה </w:t>
      </w:r>
      <w:r w:rsidR="004E246F" w:rsidRPr="00AF7884">
        <w:rPr>
          <w:rFonts w:cs="David" w:hint="cs"/>
          <w:rtl/>
        </w:rPr>
        <w:t xml:space="preserve">בקבוצת </w:t>
      </w:r>
      <w:r w:rsidR="002255D2" w:rsidRPr="00AF7884">
        <w:rPr>
          <w:rFonts w:cs="David" w:hint="cs"/>
          <w:rtl/>
        </w:rPr>
        <w:t xml:space="preserve">הגיל </w:t>
      </w:r>
      <w:r w:rsidR="00140694" w:rsidRPr="00AF7884">
        <w:rPr>
          <w:rFonts w:cs="David"/>
          <w:rtl/>
        </w:rPr>
        <w:t>65-69</w:t>
      </w:r>
      <w:r w:rsidR="002255D2" w:rsidRPr="00AF7884">
        <w:rPr>
          <w:rFonts w:cs="David" w:hint="cs"/>
          <w:rtl/>
        </w:rPr>
        <w:t xml:space="preserve"> ובערבים</w:t>
      </w:r>
      <w:r w:rsidR="004E246F" w:rsidRPr="00AF7884">
        <w:rPr>
          <w:rFonts w:cs="David" w:hint="cs"/>
          <w:rtl/>
        </w:rPr>
        <w:t>,</w:t>
      </w:r>
      <w:r w:rsidR="00140694" w:rsidRPr="00AF7884">
        <w:rPr>
          <w:rFonts w:cs="David" w:hint="cs"/>
          <w:rtl/>
        </w:rPr>
        <w:t xml:space="preserve"> </w:t>
      </w:r>
      <w:r w:rsidR="00140694" w:rsidRPr="00AF7884">
        <w:rPr>
          <w:rFonts w:cs="David"/>
          <w:rtl/>
        </w:rPr>
        <w:t>70-74</w:t>
      </w:r>
      <w:r w:rsidR="002255D2" w:rsidRPr="00AF7884">
        <w:rPr>
          <w:rFonts w:cs="David" w:hint="cs"/>
          <w:rtl/>
        </w:rPr>
        <w:t xml:space="preserve">. בהשוואה ליהודים, לערבים שיעורי היארעות נמוכים יותר </w:t>
      </w:r>
      <w:r w:rsidR="00E765AE" w:rsidRPr="00AF7884">
        <w:rPr>
          <w:rFonts w:cs="David" w:hint="eastAsia"/>
          <w:rtl/>
        </w:rPr>
        <w:t>ברוב</w:t>
      </w:r>
      <w:r w:rsidR="00E765AE" w:rsidRPr="00AF7884">
        <w:rPr>
          <w:rFonts w:cs="David"/>
          <w:rtl/>
        </w:rPr>
        <w:t xml:space="preserve"> </w:t>
      </w:r>
      <w:r w:rsidR="002255D2" w:rsidRPr="00AF7884">
        <w:rPr>
          <w:rFonts w:cs="David" w:hint="eastAsia"/>
          <w:rtl/>
        </w:rPr>
        <w:t>קבוצות</w:t>
      </w:r>
      <w:r w:rsidR="002255D2" w:rsidRPr="00AF7884">
        <w:rPr>
          <w:rFonts w:cs="David"/>
          <w:rtl/>
        </w:rPr>
        <w:t xml:space="preserve"> </w:t>
      </w:r>
      <w:r w:rsidR="002255D2" w:rsidRPr="00AF7884">
        <w:rPr>
          <w:rFonts w:cs="David" w:hint="eastAsia"/>
          <w:rtl/>
        </w:rPr>
        <w:t>הגיל</w:t>
      </w:r>
      <w:r w:rsidR="00E765AE" w:rsidRPr="00AF7884">
        <w:rPr>
          <w:rFonts w:cs="David"/>
          <w:rtl/>
        </w:rPr>
        <w:t xml:space="preserve">, למעט בקבוצת </w:t>
      </w:r>
      <w:r w:rsidR="00AF7884">
        <w:rPr>
          <w:rFonts w:cs="David" w:hint="cs"/>
          <w:rtl/>
        </w:rPr>
        <w:t>ה</w:t>
      </w:r>
      <w:r w:rsidR="00E765AE" w:rsidRPr="00AF7884">
        <w:rPr>
          <w:rFonts w:cs="David"/>
          <w:rtl/>
        </w:rPr>
        <w:t>גיל 70-74</w:t>
      </w:r>
      <w:r w:rsidR="002255D2" w:rsidRPr="00AF7884">
        <w:rPr>
          <w:rFonts w:cs="David"/>
          <w:rtl/>
        </w:rPr>
        <w:t xml:space="preserve">. </w:t>
      </w:r>
      <w:r w:rsidR="0035402C">
        <w:rPr>
          <w:rFonts w:cs="David" w:hint="cs"/>
          <w:rtl/>
        </w:rPr>
        <w:t xml:space="preserve">יש לזכור כי </w:t>
      </w:r>
      <w:r w:rsidR="0080752E" w:rsidRPr="00AF7884">
        <w:rPr>
          <w:rFonts w:cs="David" w:hint="eastAsia"/>
          <w:rtl/>
        </w:rPr>
        <w:t>אוכלוסיית</w:t>
      </w:r>
      <w:r w:rsidR="0080752E" w:rsidRPr="00AF7884">
        <w:rPr>
          <w:rFonts w:cs="David"/>
          <w:rtl/>
        </w:rPr>
        <w:t xml:space="preserve"> ה"אחרים" קטנה</w:t>
      </w:r>
      <w:r w:rsidR="00AF7884" w:rsidRPr="00AF7884">
        <w:rPr>
          <w:rFonts w:cs="David"/>
          <w:rtl/>
        </w:rPr>
        <w:t xml:space="preserve"> יחסית</w:t>
      </w:r>
      <w:r w:rsidR="00FD0425">
        <w:rPr>
          <w:rFonts w:cs="David" w:hint="cs"/>
          <w:rtl/>
        </w:rPr>
        <w:t xml:space="preserve"> והשיעורים בה פחות יציבים, ולמרות זאת היו </w:t>
      </w:r>
      <w:r w:rsidR="0080752E" w:rsidRPr="00AF7884">
        <w:rPr>
          <w:rFonts w:cs="David"/>
          <w:rtl/>
        </w:rPr>
        <w:t xml:space="preserve">שיעורי </w:t>
      </w:r>
      <w:r w:rsidR="00FD0425">
        <w:rPr>
          <w:rFonts w:cs="David" w:hint="cs"/>
          <w:rtl/>
        </w:rPr>
        <w:t xml:space="preserve">ההיארעות בקבוצה זו </w:t>
      </w:r>
      <w:r w:rsidR="0080752E" w:rsidRPr="00AF7884">
        <w:rPr>
          <w:rFonts w:cs="David"/>
          <w:rtl/>
        </w:rPr>
        <w:t>הגב</w:t>
      </w:r>
      <w:r w:rsidR="00FD0425">
        <w:rPr>
          <w:rFonts w:cs="David" w:hint="cs"/>
          <w:rtl/>
        </w:rPr>
        <w:t>ו</w:t>
      </w:r>
      <w:r w:rsidR="0080752E" w:rsidRPr="00AF7884">
        <w:rPr>
          <w:rFonts w:cs="David"/>
          <w:rtl/>
        </w:rPr>
        <w:t xml:space="preserve">הים ביותר </w:t>
      </w:r>
      <w:r w:rsidR="0080752E" w:rsidRPr="00AF7884">
        <w:rPr>
          <w:rFonts w:cs="David" w:hint="eastAsia"/>
          <w:rtl/>
        </w:rPr>
        <w:t>בכל</w:t>
      </w:r>
      <w:r w:rsidR="0080752E" w:rsidRPr="00AF7884">
        <w:rPr>
          <w:rFonts w:cs="David"/>
          <w:rtl/>
        </w:rPr>
        <w:t xml:space="preserve"> קבוצ</w:t>
      </w:r>
      <w:r w:rsidR="00FD0425">
        <w:rPr>
          <w:rFonts w:cs="David" w:hint="cs"/>
          <w:rtl/>
        </w:rPr>
        <w:t>ו</w:t>
      </w:r>
      <w:r w:rsidR="0080752E" w:rsidRPr="00AF7884">
        <w:rPr>
          <w:rFonts w:cs="David"/>
          <w:rtl/>
        </w:rPr>
        <w:t xml:space="preserve">ת </w:t>
      </w:r>
      <w:r w:rsidR="00FD0425">
        <w:rPr>
          <w:rFonts w:cs="David" w:hint="cs"/>
          <w:rtl/>
        </w:rPr>
        <w:t>ה</w:t>
      </w:r>
      <w:r w:rsidR="0080752E" w:rsidRPr="00AF7884">
        <w:rPr>
          <w:rFonts w:cs="David"/>
          <w:rtl/>
        </w:rPr>
        <w:t>גיל</w:t>
      </w:r>
      <w:r w:rsidR="00FD0425">
        <w:rPr>
          <w:rFonts w:cs="David" w:hint="cs"/>
          <w:rtl/>
        </w:rPr>
        <w:t xml:space="preserve"> </w:t>
      </w:r>
      <w:r w:rsidR="00FD0425" w:rsidRPr="00AF7884">
        <w:rPr>
          <w:rFonts w:cs="David"/>
          <w:rtl/>
        </w:rPr>
        <w:t>(תרשים 2)</w:t>
      </w:r>
      <w:r w:rsidR="0080752E" w:rsidRPr="00AF7884">
        <w:rPr>
          <w:rFonts w:cs="David"/>
          <w:rtl/>
        </w:rPr>
        <w:t xml:space="preserve">. </w:t>
      </w:r>
    </w:p>
    <w:p w:rsidR="00212FAD" w:rsidRPr="00AF7884" w:rsidRDefault="002255D2" w:rsidP="0035402C">
      <w:pPr>
        <w:bidi/>
        <w:spacing w:line="360" w:lineRule="auto"/>
        <w:jc w:val="both"/>
        <w:rPr>
          <w:rFonts w:cs="David"/>
        </w:rPr>
      </w:pPr>
      <w:r w:rsidRPr="00AF7884">
        <w:rPr>
          <w:rFonts w:cs="David" w:hint="eastAsia"/>
          <w:rtl/>
        </w:rPr>
        <w:t>הגיל</w:t>
      </w:r>
      <w:r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הממוצע</w:t>
      </w:r>
      <w:r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בעת</w:t>
      </w:r>
      <w:r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האבחנה</w:t>
      </w:r>
      <w:r w:rsidRPr="00AF7884">
        <w:rPr>
          <w:rFonts w:cs="David"/>
          <w:rtl/>
        </w:rPr>
        <w:t xml:space="preserve"> </w:t>
      </w:r>
      <w:r w:rsidRPr="00AF7884">
        <w:rPr>
          <w:rFonts w:cs="David" w:hint="eastAsia"/>
          <w:rtl/>
        </w:rPr>
        <w:t>בשנת</w:t>
      </w:r>
      <w:r w:rsidRPr="00AF7884">
        <w:rPr>
          <w:rFonts w:cs="David"/>
          <w:rtl/>
        </w:rPr>
        <w:t xml:space="preserve"> 201</w:t>
      </w:r>
      <w:r w:rsidR="00555275" w:rsidRPr="00AF7884">
        <w:rPr>
          <w:rFonts w:cs="David"/>
          <w:rtl/>
        </w:rPr>
        <w:t>5</w:t>
      </w:r>
      <w:r w:rsidRPr="00AF7884">
        <w:rPr>
          <w:rFonts w:cs="David"/>
          <w:rtl/>
        </w:rPr>
        <w:t xml:space="preserve"> </w:t>
      </w:r>
      <w:r w:rsidR="00212FAD" w:rsidRPr="00AF7884">
        <w:rPr>
          <w:rFonts w:cs="David" w:hint="eastAsia"/>
          <w:rtl/>
        </w:rPr>
        <w:t>היה</w:t>
      </w:r>
      <w:r w:rsidR="00212FAD" w:rsidRPr="00AF7884">
        <w:rPr>
          <w:rFonts w:cs="David"/>
          <w:rtl/>
        </w:rPr>
        <w:t xml:space="preserve"> </w:t>
      </w:r>
      <w:r w:rsidR="00140694" w:rsidRPr="00AF7884">
        <w:rPr>
          <w:rFonts w:cs="David"/>
          <w:rtl/>
        </w:rPr>
        <w:t>70.3</w:t>
      </w:r>
      <w:r w:rsidR="008C2492" w:rsidRPr="00AF7884">
        <w:rPr>
          <w:rFonts w:cs="David"/>
          <w:rtl/>
        </w:rPr>
        <w:t xml:space="preserve"> ביהודים, </w:t>
      </w:r>
      <w:r w:rsidR="00E765AE" w:rsidRPr="00AF7884">
        <w:rPr>
          <w:rFonts w:cs="David"/>
          <w:rtl/>
        </w:rPr>
        <w:t>69.0</w:t>
      </w:r>
      <w:r w:rsidR="008C2492" w:rsidRPr="00AF7884">
        <w:rPr>
          <w:rFonts w:cs="David"/>
          <w:rtl/>
        </w:rPr>
        <w:t xml:space="preserve"> בערבים</w:t>
      </w:r>
      <w:r w:rsidR="00140694" w:rsidRPr="00AF7884">
        <w:rPr>
          <w:rFonts w:cs="David"/>
          <w:rtl/>
        </w:rPr>
        <w:t xml:space="preserve"> ו-</w:t>
      </w:r>
      <w:r w:rsidR="00E765AE" w:rsidRPr="00AF7884">
        <w:rPr>
          <w:rFonts w:cs="David"/>
          <w:rtl/>
        </w:rPr>
        <w:t>67.4</w:t>
      </w:r>
      <w:r w:rsidR="00140694" w:rsidRPr="00AF7884">
        <w:rPr>
          <w:rFonts w:cs="David"/>
          <w:rtl/>
        </w:rPr>
        <w:t xml:space="preserve"> ב"אחרים"</w:t>
      </w:r>
      <w:r w:rsidR="008C2492" w:rsidRPr="00AF7884">
        <w:rPr>
          <w:rFonts w:cs="David"/>
          <w:rtl/>
        </w:rPr>
        <w:t>.</w:t>
      </w:r>
      <w:r w:rsidR="0080752E" w:rsidRPr="00AF7884">
        <w:rPr>
          <w:rFonts w:cs="David" w:hint="cs"/>
          <w:rtl/>
        </w:rPr>
        <w:t xml:space="preserve">  </w:t>
      </w:r>
    </w:p>
    <w:p w:rsidR="00C0127F" w:rsidRDefault="00C0127F">
      <w:pPr>
        <w:widowControl/>
        <w:suppressAutoHyphens w:val="0"/>
        <w:rPr>
          <w:rFonts w:cs="David"/>
          <w:sz w:val="18"/>
          <w:szCs w:val="18"/>
        </w:rPr>
      </w:pPr>
      <w:r>
        <w:rPr>
          <w:rFonts w:cs="David"/>
          <w:sz w:val="18"/>
          <w:szCs w:val="18"/>
          <w:rtl/>
        </w:rPr>
        <w:br w:type="page"/>
      </w:r>
    </w:p>
    <w:p w:rsidR="004E246F" w:rsidRDefault="004E246F" w:rsidP="00C0127F">
      <w:pPr>
        <w:bidi/>
        <w:spacing w:line="360" w:lineRule="auto"/>
        <w:jc w:val="both"/>
        <w:rPr>
          <w:rFonts w:cs="David"/>
          <w:b/>
          <w:bCs/>
          <w:sz w:val="18"/>
          <w:szCs w:val="18"/>
          <w:rtl/>
        </w:rPr>
      </w:pPr>
      <w:r w:rsidRPr="00C0127F">
        <w:rPr>
          <w:rFonts w:cs="David" w:hint="cs"/>
          <w:sz w:val="18"/>
          <w:szCs w:val="18"/>
          <w:rtl/>
        </w:rPr>
        <w:lastRenderedPageBreak/>
        <w:t xml:space="preserve">תרשים 2: </w:t>
      </w:r>
      <w:r w:rsidRPr="00C0127F">
        <w:rPr>
          <w:rFonts w:cs="David" w:hint="cs"/>
          <w:b/>
          <w:bCs/>
          <w:sz w:val="18"/>
          <w:szCs w:val="18"/>
          <w:rtl/>
        </w:rPr>
        <w:t xml:space="preserve">שיעור ההיארעות של סרטן </w:t>
      </w:r>
      <w:r w:rsidR="008C2492" w:rsidRPr="00C0127F">
        <w:rPr>
          <w:rFonts w:cs="David" w:hint="cs"/>
          <w:b/>
          <w:bCs/>
          <w:sz w:val="18"/>
          <w:szCs w:val="18"/>
          <w:rtl/>
        </w:rPr>
        <w:t xml:space="preserve">חודרני של </w:t>
      </w:r>
      <w:r w:rsidRPr="00C0127F">
        <w:rPr>
          <w:rFonts w:cs="David" w:hint="cs"/>
          <w:b/>
          <w:bCs/>
          <w:sz w:val="18"/>
          <w:szCs w:val="18"/>
          <w:rtl/>
        </w:rPr>
        <w:t>הערמונית לפי קבוצת אוכלוסייה וקבוצת גיל, ישראל</w:t>
      </w:r>
      <w:r w:rsidR="00140694" w:rsidRPr="00C0127F">
        <w:rPr>
          <w:rFonts w:cs="David" w:hint="cs"/>
          <w:b/>
          <w:bCs/>
          <w:sz w:val="18"/>
          <w:szCs w:val="18"/>
          <w:rtl/>
        </w:rPr>
        <w:t>,</w:t>
      </w:r>
      <w:r w:rsidR="00C0127F">
        <w:rPr>
          <w:rFonts w:cs="David" w:hint="cs"/>
          <w:b/>
          <w:bCs/>
          <w:sz w:val="18"/>
          <w:szCs w:val="18"/>
          <w:rtl/>
        </w:rPr>
        <w:t>2015</w:t>
      </w:r>
    </w:p>
    <w:p w:rsidR="00C0127F" w:rsidRDefault="008A4E1E" w:rsidP="00C0127F">
      <w:pPr>
        <w:bidi/>
        <w:spacing w:line="360" w:lineRule="auto"/>
        <w:jc w:val="both"/>
        <w:rPr>
          <w:rFonts w:cs="David"/>
          <w:b/>
          <w:bCs/>
          <w:sz w:val="18"/>
          <w:szCs w:val="18"/>
          <w:rtl/>
        </w:rPr>
      </w:pPr>
      <w:r>
        <w:rPr>
          <w:noProof/>
          <w:lang w:eastAsia="en-US"/>
        </w:rPr>
        <w:drawing>
          <wp:inline distT="0" distB="0" distL="0" distR="0" wp14:anchorId="7B279ECB" wp14:editId="1CBF965A">
            <wp:extent cx="5274310" cy="3448685"/>
            <wp:effectExtent l="0" t="0" r="21590" b="1841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127F" w:rsidRDefault="00C0127F" w:rsidP="00C0127F">
      <w:pPr>
        <w:bidi/>
        <w:spacing w:line="360" w:lineRule="auto"/>
        <w:jc w:val="both"/>
        <w:rPr>
          <w:rFonts w:cs="David"/>
          <w:b/>
          <w:bCs/>
          <w:sz w:val="18"/>
          <w:szCs w:val="18"/>
          <w:rtl/>
        </w:rPr>
      </w:pPr>
    </w:p>
    <w:p w:rsidR="009B2520" w:rsidRPr="002C2781" w:rsidRDefault="00156A63" w:rsidP="00156A63">
      <w:pPr>
        <w:bidi/>
        <w:spacing w:line="360" w:lineRule="auto"/>
        <w:jc w:val="both"/>
        <w:rPr>
          <w:rFonts w:cs="David"/>
          <w:b/>
          <w:bCs/>
          <w:color w:val="0000FF"/>
          <w:sz w:val="28"/>
          <w:szCs w:val="28"/>
          <w:rtl/>
        </w:rPr>
      </w:pPr>
      <w:r w:rsidRPr="007E726C">
        <w:rPr>
          <w:rFonts w:cs="David"/>
          <w:b/>
          <w:bCs/>
          <w:color w:val="0000FF"/>
          <w:sz w:val="28"/>
          <w:szCs w:val="28"/>
        </w:rPr>
        <w:sym w:font="Wingdings 3" w:char="F074"/>
      </w:r>
      <w:r w:rsidR="009B2520" w:rsidRPr="002C2781">
        <w:rPr>
          <w:rFonts w:cs="David"/>
          <w:b/>
          <w:bCs/>
          <w:color w:val="0000FF"/>
          <w:kern w:val="28"/>
          <w:sz w:val="28"/>
          <w:szCs w:val="28"/>
          <w:rtl/>
        </w:rPr>
        <w:t xml:space="preserve">שיעורי התחלואה </w:t>
      </w:r>
      <w:r w:rsidR="009B2520" w:rsidRPr="002C2781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בסרטן הערמונית </w:t>
      </w:r>
      <w:r w:rsidR="009B2520" w:rsidRPr="002C2781">
        <w:rPr>
          <w:rFonts w:cs="David"/>
          <w:b/>
          <w:bCs/>
          <w:color w:val="0000FF"/>
          <w:kern w:val="28"/>
          <w:sz w:val="28"/>
          <w:szCs w:val="28"/>
          <w:rtl/>
        </w:rPr>
        <w:t>לפי מקום הלידה</w:t>
      </w:r>
      <w:r w:rsidR="009B2520" w:rsidRPr="002C2781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(יהודים בלבד)</w:t>
      </w:r>
    </w:p>
    <w:p w:rsidR="009B2520" w:rsidRPr="00FD0425" w:rsidRDefault="002F3A68" w:rsidP="00FD6DF5">
      <w:pPr>
        <w:bidi/>
        <w:spacing w:line="360" w:lineRule="auto"/>
        <w:jc w:val="both"/>
        <w:rPr>
          <w:rFonts w:cs="David"/>
          <w:rtl/>
        </w:rPr>
      </w:pPr>
      <w:r w:rsidRPr="00FD0425">
        <w:rPr>
          <w:rFonts w:cs="David" w:hint="cs"/>
          <w:rtl/>
        </w:rPr>
        <w:t>בשנת 20</w:t>
      </w:r>
      <w:r w:rsidR="00A95C67" w:rsidRPr="00FD0425">
        <w:rPr>
          <w:rFonts w:cs="David" w:hint="cs"/>
          <w:rtl/>
        </w:rPr>
        <w:t>1</w:t>
      </w:r>
      <w:r w:rsidR="00555275" w:rsidRPr="00FD0425">
        <w:rPr>
          <w:rFonts w:cs="David" w:hint="cs"/>
          <w:rtl/>
        </w:rPr>
        <w:t>5</w:t>
      </w:r>
      <w:r w:rsidRPr="00FD0425">
        <w:rPr>
          <w:rFonts w:cs="David" w:hint="cs"/>
          <w:rtl/>
        </w:rPr>
        <w:t xml:space="preserve"> לא </w:t>
      </w:r>
      <w:r w:rsidR="004E246F" w:rsidRPr="00FD0425">
        <w:rPr>
          <w:rFonts w:cs="David" w:hint="cs"/>
          <w:rtl/>
        </w:rPr>
        <w:t>נצפ</w:t>
      </w:r>
      <w:r w:rsidR="00C26FAE" w:rsidRPr="00FD0425">
        <w:rPr>
          <w:rFonts w:cs="David" w:hint="cs"/>
          <w:rtl/>
        </w:rPr>
        <w:t xml:space="preserve">ו </w:t>
      </w:r>
      <w:r w:rsidRPr="00FD0425">
        <w:rPr>
          <w:rFonts w:cs="David" w:hint="cs"/>
          <w:rtl/>
        </w:rPr>
        <w:t xml:space="preserve">הבדלים מהותיים בשיעורי ההיארעות המתוקננים לגיל של סרטן חודרני של הערמונית בין קבוצות המוצא השונות בקרב יהודים. </w:t>
      </w:r>
      <w:r w:rsidR="00151D79" w:rsidRPr="00FD0425">
        <w:rPr>
          <w:rFonts w:cs="David"/>
          <w:rtl/>
        </w:rPr>
        <w:t xml:space="preserve">השיעור הגבוה ביותר </w:t>
      </w:r>
      <w:r w:rsidR="008C2492" w:rsidRPr="00FD0425">
        <w:rPr>
          <w:rFonts w:cs="David"/>
          <w:rtl/>
        </w:rPr>
        <w:t xml:space="preserve">(מתוקנן </w:t>
      </w:r>
      <w:r w:rsidR="008C2492" w:rsidRPr="00FD0425">
        <w:rPr>
          <w:rFonts w:cs="David" w:hint="eastAsia"/>
          <w:rtl/>
        </w:rPr>
        <w:t>לגיל</w:t>
      </w:r>
      <w:r w:rsidR="008C2492" w:rsidRPr="00FD0425">
        <w:rPr>
          <w:rFonts w:cs="David"/>
          <w:rtl/>
        </w:rPr>
        <w:t xml:space="preserve">, </w:t>
      </w:r>
      <w:r w:rsidR="008C2492" w:rsidRPr="00FD0425">
        <w:rPr>
          <w:rFonts w:cs="David" w:hint="eastAsia"/>
          <w:rtl/>
        </w:rPr>
        <w:t>ל</w:t>
      </w:r>
      <w:r w:rsidR="008C2492" w:rsidRPr="00FD0425">
        <w:rPr>
          <w:rFonts w:cs="David"/>
          <w:rtl/>
        </w:rPr>
        <w:t>-100</w:t>
      </w:r>
      <w:r w:rsidR="000837DE" w:rsidRPr="00FD0425">
        <w:rPr>
          <w:rFonts w:cs="David"/>
          <w:rtl/>
        </w:rPr>
        <w:t xml:space="preserve">,000) </w:t>
      </w:r>
      <w:r w:rsidR="00151D79" w:rsidRPr="00FD0425">
        <w:rPr>
          <w:rFonts w:cs="David"/>
          <w:rtl/>
        </w:rPr>
        <w:t xml:space="preserve">נצפה בילידי אירופה–אמריקה: </w:t>
      </w:r>
      <w:r w:rsidR="00FD6DF5" w:rsidRPr="00FD0425">
        <w:rPr>
          <w:rFonts w:cs="David" w:hint="cs"/>
          <w:rtl/>
        </w:rPr>
        <w:t>47.3</w:t>
      </w:r>
      <w:r w:rsidR="00151D79" w:rsidRPr="00FD0425">
        <w:rPr>
          <w:rFonts w:cs="David"/>
          <w:rtl/>
        </w:rPr>
        <w:t xml:space="preserve">, והשיעור הנמוך ביותר, </w:t>
      </w:r>
      <w:r w:rsidR="006E343B" w:rsidRPr="00FD0425">
        <w:rPr>
          <w:rFonts w:cs="David"/>
          <w:rtl/>
        </w:rPr>
        <w:t xml:space="preserve">בילידי אסיה, </w:t>
      </w:r>
      <w:r w:rsidR="00FD6DF5" w:rsidRPr="00FD0425">
        <w:rPr>
          <w:rFonts w:cs="David" w:hint="cs"/>
          <w:rtl/>
        </w:rPr>
        <w:t>33.5</w:t>
      </w:r>
      <w:r w:rsidR="006E343B" w:rsidRPr="00FD0425">
        <w:rPr>
          <w:rFonts w:cs="David"/>
          <w:rtl/>
        </w:rPr>
        <w:t>.</w:t>
      </w:r>
      <w:r w:rsidR="00151D79" w:rsidRPr="00FD0425">
        <w:rPr>
          <w:rFonts w:cs="David"/>
          <w:rtl/>
        </w:rPr>
        <w:t xml:space="preserve"> בילידי ישראל היה השיעור </w:t>
      </w:r>
      <w:r w:rsidR="00FD6DF5" w:rsidRPr="00FD0425">
        <w:rPr>
          <w:rFonts w:cs="David" w:hint="cs"/>
          <w:rtl/>
        </w:rPr>
        <w:t>40.4</w:t>
      </w:r>
      <w:r w:rsidR="00151D79" w:rsidRPr="00FD0425">
        <w:rPr>
          <w:rFonts w:cs="David"/>
          <w:rtl/>
        </w:rPr>
        <w:t xml:space="preserve"> </w:t>
      </w:r>
      <w:r w:rsidR="00AE27F8" w:rsidRPr="00FD0425">
        <w:rPr>
          <w:rFonts w:cs="David" w:hint="eastAsia"/>
          <w:rtl/>
        </w:rPr>
        <w:t>ו</w:t>
      </w:r>
      <w:r w:rsidR="006E343B" w:rsidRPr="00FD0425">
        <w:rPr>
          <w:rFonts w:cs="David"/>
          <w:rtl/>
        </w:rPr>
        <w:t xml:space="preserve">בילידי אפריקה, </w:t>
      </w:r>
      <w:r w:rsidR="00FD6DF5" w:rsidRPr="00FD0425">
        <w:rPr>
          <w:rFonts w:cs="David" w:hint="cs"/>
          <w:rtl/>
        </w:rPr>
        <w:t>38.1</w:t>
      </w:r>
      <w:r w:rsidR="006E343B" w:rsidRPr="00FD0425">
        <w:rPr>
          <w:rFonts w:cs="David"/>
          <w:rtl/>
        </w:rPr>
        <w:t>.</w:t>
      </w:r>
    </w:p>
    <w:p w:rsidR="0061780A" w:rsidRPr="00B7317E" w:rsidRDefault="0061780A" w:rsidP="0061780A">
      <w:pPr>
        <w:bidi/>
        <w:spacing w:line="360" w:lineRule="auto"/>
        <w:jc w:val="both"/>
        <w:rPr>
          <w:rFonts w:cs="David"/>
          <w:highlight w:val="yellow"/>
          <w:rtl/>
        </w:rPr>
      </w:pPr>
    </w:p>
    <w:p w:rsidR="002F3A68" w:rsidRPr="00BE4C3A" w:rsidRDefault="002F3A68" w:rsidP="00465D52">
      <w:pPr>
        <w:bidi/>
        <w:spacing w:line="360" w:lineRule="auto"/>
        <w:jc w:val="both"/>
        <w:rPr>
          <w:rFonts w:cs="David"/>
          <w:b/>
          <w:bCs/>
          <w:color w:val="0000FF"/>
          <w:sz w:val="28"/>
          <w:szCs w:val="28"/>
          <w:rtl/>
        </w:rPr>
      </w:pPr>
      <w:r w:rsidRPr="00BE4C3A">
        <w:rPr>
          <w:rFonts w:cs="David" w:hint="cs"/>
          <w:b/>
          <w:bCs/>
          <w:color w:val="0000FF"/>
          <w:sz w:val="28"/>
          <w:szCs w:val="28"/>
        </w:rPr>
        <w:sym w:font="Wingdings 3" w:char="F074"/>
      </w:r>
      <w:r w:rsidRPr="00BE4C3A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Pr="00BE4C3A">
        <w:rPr>
          <w:rFonts w:cs="David" w:hint="cs"/>
          <w:b/>
          <w:bCs/>
          <w:color w:val="0000FF"/>
          <w:kern w:val="28"/>
          <w:sz w:val="28"/>
          <w:szCs w:val="28"/>
          <w:rtl/>
        </w:rPr>
        <w:t>שיעור ההימצאות של סרטן חודרני של הערמונית</w:t>
      </w:r>
      <w:r w:rsidRPr="00BE4C3A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</w:p>
    <w:p w:rsidR="0039444A" w:rsidRPr="00FD0425" w:rsidRDefault="0039444A" w:rsidP="00FD0425">
      <w:pPr>
        <w:bidi/>
        <w:spacing w:line="360" w:lineRule="auto"/>
        <w:jc w:val="both"/>
        <w:rPr>
          <w:rFonts w:cs="David"/>
          <w:rtl/>
        </w:rPr>
      </w:pPr>
      <w:r w:rsidRPr="00FD0425">
        <w:rPr>
          <w:rFonts w:cs="David" w:hint="cs"/>
          <w:rtl/>
        </w:rPr>
        <w:t>כיום חיים בישראל</w:t>
      </w:r>
      <w:r w:rsidR="00290BE6" w:rsidRPr="00FD0425">
        <w:rPr>
          <w:rFonts w:cs="David" w:hint="cs"/>
          <w:rtl/>
        </w:rPr>
        <w:t xml:space="preserve"> </w:t>
      </w:r>
      <w:r w:rsidR="00272942" w:rsidRPr="00FD0425">
        <w:rPr>
          <w:rFonts w:cs="David" w:hint="cs"/>
          <w:b/>
          <w:bCs/>
          <w:rtl/>
        </w:rPr>
        <w:t>28,249</w:t>
      </w:r>
      <w:r w:rsidR="004D3F03" w:rsidRPr="00FD0425">
        <w:rPr>
          <w:rFonts w:cs="David"/>
          <w:rtl/>
        </w:rPr>
        <w:t xml:space="preserve"> </w:t>
      </w:r>
      <w:r w:rsidRPr="00FD0425">
        <w:rPr>
          <w:rFonts w:cs="David" w:hint="eastAsia"/>
          <w:rtl/>
        </w:rPr>
        <w:t>גברים</w:t>
      </w:r>
      <w:r w:rsidRPr="00FD0425">
        <w:rPr>
          <w:rFonts w:cs="David"/>
          <w:rtl/>
        </w:rPr>
        <w:t xml:space="preserve"> </w:t>
      </w:r>
      <w:r w:rsidR="004D3F03" w:rsidRPr="00FD0425">
        <w:rPr>
          <w:rFonts w:cs="David" w:hint="eastAsia"/>
          <w:rtl/>
        </w:rPr>
        <w:t>שאובחנו</w:t>
      </w:r>
      <w:r w:rsidR="004D3F03" w:rsidRPr="00FD0425">
        <w:rPr>
          <w:rFonts w:cs="David"/>
          <w:rtl/>
        </w:rPr>
        <w:t xml:space="preserve"> </w:t>
      </w:r>
      <w:r w:rsidR="004E7324" w:rsidRPr="00FD0425">
        <w:rPr>
          <w:rFonts w:cs="David" w:hint="eastAsia"/>
          <w:rtl/>
        </w:rPr>
        <w:t>עם</w:t>
      </w:r>
      <w:r w:rsidR="004E7324" w:rsidRPr="00FD0425">
        <w:rPr>
          <w:rFonts w:cs="David"/>
          <w:rtl/>
        </w:rPr>
        <w:t xml:space="preserve"> סרטן חודרני של הערמונית </w:t>
      </w:r>
      <w:r w:rsidR="004D3F03" w:rsidRPr="00FD0425">
        <w:rPr>
          <w:rFonts w:cs="David" w:hint="eastAsia"/>
          <w:rtl/>
        </w:rPr>
        <w:t>מאז</w:t>
      </w:r>
      <w:r w:rsidR="004D3F03" w:rsidRPr="00FD0425">
        <w:rPr>
          <w:rFonts w:cs="David"/>
          <w:rtl/>
        </w:rPr>
        <w:t xml:space="preserve"> 1990</w:t>
      </w:r>
      <w:r w:rsidR="00EB3358" w:rsidRPr="00FD0425">
        <w:rPr>
          <w:rFonts w:cs="David"/>
          <w:rtl/>
        </w:rPr>
        <w:t xml:space="preserve">, מהם </w:t>
      </w:r>
      <w:r w:rsidR="00191056" w:rsidRPr="00FD0425">
        <w:rPr>
          <w:rFonts w:cs="David"/>
          <w:rtl/>
        </w:rPr>
        <w:t xml:space="preserve"> </w:t>
      </w:r>
      <w:r w:rsidR="00272942" w:rsidRPr="00FD0425">
        <w:rPr>
          <w:rFonts w:cs="David" w:hint="cs"/>
          <w:b/>
          <w:bCs/>
          <w:rtl/>
        </w:rPr>
        <w:t>9,994</w:t>
      </w:r>
      <w:r w:rsidR="00156A63" w:rsidRPr="00FD0425">
        <w:rPr>
          <w:rFonts w:cs="David" w:hint="cs"/>
          <w:rtl/>
        </w:rPr>
        <w:t xml:space="preserve"> </w:t>
      </w:r>
      <w:r w:rsidR="00843082" w:rsidRPr="00FD0425">
        <w:rPr>
          <w:rFonts w:cs="David" w:hint="eastAsia"/>
          <w:rtl/>
        </w:rPr>
        <w:t>גברים</w:t>
      </w:r>
      <w:r w:rsidR="00843082" w:rsidRPr="00FD0425">
        <w:rPr>
          <w:rFonts w:cs="David"/>
          <w:rtl/>
        </w:rPr>
        <w:t xml:space="preserve"> </w:t>
      </w:r>
      <w:r w:rsidRPr="00FD0425">
        <w:rPr>
          <w:rFonts w:cs="David" w:hint="eastAsia"/>
          <w:rtl/>
        </w:rPr>
        <w:t>ש</w:t>
      </w:r>
      <w:r w:rsidR="00EB3358" w:rsidRPr="00FD0425">
        <w:rPr>
          <w:rFonts w:cs="David" w:hint="eastAsia"/>
          <w:rtl/>
        </w:rPr>
        <w:t>אובחנו</w:t>
      </w:r>
      <w:r w:rsidR="00EB3358" w:rsidRPr="00FD0425">
        <w:rPr>
          <w:rFonts w:cs="David"/>
          <w:rtl/>
        </w:rPr>
        <w:t xml:space="preserve"> </w:t>
      </w:r>
      <w:r w:rsidR="00EB3358" w:rsidRPr="00FD0425">
        <w:rPr>
          <w:rFonts w:cs="David" w:hint="eastAsia"/>
          <w:rtl/>
        </w:rPr>
        <w:t>ב</w:t>
      </w:r>
      <w:r w:rsidR="004E7324" w:rsidRPr="00FD0425">
        <w:rPr>
          <w:rFonts w:cs="David" w:hint="eastAsia"/>
          <w:rtl/>
        </w:rPr>
        <w:t>חמש</w:t>
      </w:r>
      <w:r w:rsidR="004E7324" w:rsidRPr="00FD0425">
        <w:rPr>
          <w:rFonts w:cs="David"/>
          <w:rtl/>
        </w:rPr>
        <w:t xml:space="preserve"> </w:t>
      </w:r>
      <w:r w:rsidR="004E7324" w:rsidRPr="00FD0425">
        <w:rPr>
          <w:rFonts w:cs="David" w:hint="eastAsia"/>
          <w:rtl/>
        </w:rPr>
        <w:t>ה</w:t>
      </w:r>
      <w:r w:rsidR="00EB3358" w:rsidRPr="00FD0425">
        <w:rPr>
          <w:rFonts w:cs="David" w:hint="eastAsia"/>
          <w:rtl/>
        </w:rPr>
        <w:t>שנים</w:t>
      </w:r>
      <w:r w:rsidR="00EB3358" w:rsidRPr="00FD0425">
        <w:rPr>
          <w:rFonts w:cs="David"/>
          <w:rtl/>
        </w:rPr>
        <w:t xml:space="preserve"> </w:t>
      </w:r>
      <w:r w:rsidR="00EB3358" w:rsidRPr="00FD0425">
        <w:rPr>
          <w:rFonts w:cs="David" w:hint="eastAsia"/>
          <w:rtl/>
        </w:rPr>
        <w:t>האחרונות</w:t>
      </w:r>
      <w:r w:rsidR="002B1430" w:rsidRPr="00FD0425">
        <w:rPr>
          <w:rFonts w:cs="David"/>
          <w:rtl/>
        </w:rPr>
        <w:t xml:space="preserve"> (20</w:t>
      </w:r>
      <w:r w:rsidR="000837DE" w:rsidRPr="00FD0425">
        <w:rPr>
          <w:rFonts w:cs="David"/>
          <w:rtl/>
        </w:rPr>
        <w:t>1</w:t>
      </w:r>
      <w:r w:rsidR="00555275" w:rsidRPr="00FD0425">
        <w:rPr>
          <w:rFonts w:cs="David"/>
          <w:rtl/>
        </w:rPr>
        <w:t>1</w:t>
      </w:r>
      <w:r w:rsidR="002B1430" w:rsidRPr="00FD0425">
        <w:rPr>
          <w:rFonts w:cs="David"/>
          <w:rtl/>
        </w:rPr>
        <w:t>-201</w:t>
      </w:r>
      <w:r w:rsidR="00555275" w:rsidRPr="00FD0425">
        <w:rPr>
          <w:rFonts w:cs="David"/>
          <w:rtl/>
        </w:rPr>
        <w:t>5</w:t>
      </w:r>
      <w:r w:rsidR="002B1430" w:rsidRPr="00FD0425">
        <w:rPr>
          <w:rFonts w:cs="David"/>
          <w:rtl/>
        </w:rPr>
        <w:t>)</w:t>
      </w:r>
      <w:r w:rsidR="00EB3358" w:rsidRPr="00FD0425">
        <w:rPr>
          <w:rFonts w:cs="David"/>
          <w:rtl/>
        </w:rPr>
        <w:t>.</w:t>
      </w:r>
      <w:r w:rsidR="00EB3358" w:rsidRPr="00FD0425">
        <w:rPr>
          <w:rFonts w:cs="David" w:hint="cs"/>
          <w:rtl/>
        </w:rPr>
        <w:t xml:space="preserve"> </w:t>
      </w:r>
    </w:p>
    <w:p w:rsidR="00FF79E5" w:rsidRPr="00FF79E5" w:rsidRDefault="00FF79E5" w:rsidP="00FF79E5">
      <w:pPr>
        <w:bidi/>
        <w:spacing w:line="360" w:lineRule="auto"/>
        <w:jc w:val="both"/>
        <w:rPr>
          <w:rFonts w:cs="David"/>
          <w:rtl/>
        </w:rPr>
      </w:pPr>
    </w:p>
    <w:p w:rsidR="0061780A" w:rsidRPr="00002B1A" w:rsidRDefault="0061780A" w:rsidP="00FD0425">
      <w:pPr>
        <w:bidi/>
        <w:spacing w:line="360" w:lineRule="auto"/>
        <w:jc w:val="both"/>
        <w:rPr>
          <w:rFonts w:cs="David"/>
          <w:b/>
          <w:bCs/>
          <w:color w:val="0000FF"/>
          <w:kern w:val="28"/>
          <w:sz w:val="28"/>
          <w:szCs w:val="28"/>
          <w:rtl/>
        </w:rPr>
      </w:pPr>
      <w:r w:rsidRPr="002777CC">
        <w:rPr>
          <w:rFonts w:cs="David" w:hint="cs"/>
          <w:b/>
          <w:bCs/>
          <w:color w:val="0000FF"/>
          <w:kern w:val="28"/>
          <w:sz w:val="28"/>
          <w:szCs w:val="28"/>
        </w:rPr>
        <w:sym w:font="Wingdings 3" w:char="F074"/>
      </w:r>
      <w:r w:rsidRPr="002777CC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</w:t>
      </w:r>
      <w:r w:rsidRPr="00191056">
        <w:rPr>
          <w:rFonts w:cs="David" w:hint="cs"/>
          <w:b/>
          <w:bCs/>
          <w:color w:val="0000FF"/>
          <w:kern w:val="28"/>
          <w:sz w:val="28"/>
          <w:szCs w:val="28"/>
          <w:rtl/>
        </w:rPr>
        <w:t>שיעור ההישרדות</w:t>
      </w:r>
      <w:r w:rsidR="00FD0425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</w:t>
      </w:r>
      <w:r w:rsidRPr="00191056">
        <w:rPr>
          <w:rFonts w:cs="David" w:hint="cs"/>
          <w:b/>
          <w:bCs/>
          <w:color w:val="0000FF"/>
          <w:kern w:val="28"/>
          <w:sz w:val="28"/>
          <w:szCs w:val="28"/>
          <w:rtl/>
        </w:rPr>
        <w:t>מסרטן הערמונית</w:t>
      </w:r>
    </w:p>
    <w:p w:rsidR="00B67348" w:rsidRPr="00FD0425" w:rsidRDefault="0039444A" w:rsidP="00E60126">
      <w:pPr>
        <w:bidi/>
        <w:spacing w:line="360" w:lineRule="auto"/>
        <w:jc w:val="both"/>
        <w:rPr>
          <w:rFonts w:cs="David"/>
          <w:rtl/>
        </w:rPr>
      </w:pPr>
      <w:r w:rsidRPr="00FD0425">
        <w:rPr>
          <w:rFonts w:cs="David" w:hint="cs"/>
          <w:rtl/>
        </w:rPr>
        <w:t>ההישרדות היחסית ל-5 שנים מבטאת את הישרדותם של מי שאובחנו עם מחלה מסוימת ביחס להישרדות</w:t>
      </w:r>
      <w:r w:rsidR="00FD0425">
        <w:rPr>
          <w:rFonts w:cs="David" w:hint="cs"/>
          <w:rtl/>
        </w:rPr>
        <w:t>ם של פרטים תואמי</w:t>
      </w:r>
      <w:r w:rsidR="0035402C">
        <w:rPr>
          <w:rFonts w:cs="David" w:hint="cs"/>
          <w:rtl/>
        </w:rPr>
        <w:t>-</w:t>
      </w:r>
      <w:r w:rsidR="00FD0425">
        <w:rPr>
          <w:rFonts w:cs="David" w:hint="cs"/>
          <w:rtl/>
        </w:rPr>
        <w:t>מין וגיל באוכלוסייה הכללית, בא</w:t>
      </w:r>
      <w:r w:rsidRPr="00FD0425">
        <w:rPr>
          <w:rFonts w:cs="David" w:hint="cs"/>
          <w:rtl/>
        </w:rPr>
        <w:t xml:space="preserve">ותה תקופת זמן. </w:t>
      </w:r>
      <w:r w:rsidR="0071217E" w:rsidRPr="00FD0425">
        <w:rPr>
          <w:rFonts w:cs="David" w:hint="cs"/>
          <w:rtl/>
        </w:rPr>
        <w:t>ההישרדות היחסית מסרטן הערמונית ל-</w:t>
      </w:r>
      <w:r w:rsidR="0059194B" w:rsidRPr="00FD0425">
        <w:rPr>
          <w:rFonts w:cs="David" w:hint="cs"/>
          <w:rtl/>
        </w:rPr>
        <w:t xml:space="preserve">5 שנים בקרב גברים </w:t>
      </w:r>
      <w:r w:rsidR="00B67348" w:rsidRPr="00FD0425">
        <w:rPr>
          <w:rFonts w:cs="David" w:hint="cs"/>
          <w:rtl/>
        </w:rPr>
        <w:t xml:space="preserve">יהודים </w:t>
      </w:r>
      <w:r w:rsidR="0059194B" w:rsidRPr="00FD0425">
        <w:rPr>
          <w:rFonts w:cs="David" w:hint="cs"/>
          <w:rtl/>
        </w:rPr>
        <w:t>שאובחנו בשנים 200</w:t>
      </w:r>
      <w:r w:rsidR="00B67348" w:rsidRPr="00FD0425">
        <w:rPr>
          <w:rFonts w:cs="David" w:hint="cs"/>
          <w:rtl/>
        </w:rPr>
        <w:t>5</w:t>
      </w:r>
      <w:r w:rsidR="0059194B" w:rsidRPr="00FD0425">
        <w:rPr>
          <w:rFonts w:cs="David" w:hint="cs"/>
          <w:rtl/>
        </w:rPr>
        <w:t>-200</w:t>
      </w:r>
      <w:r w:rsidR="00B67348" w:rsidRPr="00FD0425">
        <w:rPr>
          <w:rFonts w:cs="David" w:hint="cs"/>
          <w:rtl/>
        </w:rPr>
        <w:t>9</w:t>
      </w:r>
      <w:r w:rsidR="0059194B" w:rsidRPr="00FD0425">
        <w:rPr>
          <w:rFonts w:cs="David" w:hint="cs"/>
          <w:rtl/>
        </w:rPr>
        <w:t xml:space="preserve"> </w:t>
      </w:r>
      <w:r w:rsidR="00FD0425">
        <w:rPr>
          <w:rFonts w:cs="David" w:hint="cs"/>
          <w:rtl/>
        </w:rPr>
        <w:t>היא</w:t>
      </w:r>
      <w:r w:rsidR="0071217E" w:rsidRPr="00FD0425">
        <w:rPr>
          <w:rFonts w:cs="David" w:hint="cs"/>
          <w:rtl/>
        </w:rPr>
        <w:t xml:space="preserve"> 9</w:t>
      </w:r>
      <w:r w:rsidR="00E60126">
        <w:rPr>
          <w:rFonts w:cs="David" w:hint="cs"/>
          <w:rtl/>
        </w:rPr>
        <w:t>5</w:t>
      </w:r>
      <w:r w:rsidR="0071217E" w:rsidRPr="00FD0425">
        <w:rPr>
          <w:rFonts w:cs="David" w:hint="cs"/>
          <w:rtl/>
        </w:rPr>
        <w:t>.</w:t>
      </w:r>
      <w:r w:rsidR="00E60126">
        <w:rPr>
          <w:rFonts w:cs="David" w:hint="cs"/>
          <w:rtl/>
        </w:rPr>
        <w:t>7</w:t>
      </w:r>
      <w:r w:rsidR="0071217E" w:rsidRPr="00FD0425">
        <w:rPr>
          <w:rFonts w:cs="David" w:hint="cs"/>
          <w:rtl/>
        </w:rPr>
        <w:t xml:space="preserve">%. זאת בהשוואה לשיעור של </w:t>
      </w:r>
      <w:r w:rsidR="00B67348" w:rsidRPr="00FD0425">
        <w:rPr>
          <w:rFonts w:cs="David" w:hint="cs"/>
          <w:rtl/>
        </w:rPr>
        <w:t>91</w:t>
      </w:r>
      <w:r w:rsidR="0071217E" w:rsidRPr="00FD0425">
        <w:rPr>
          <w:rFonts w:cs="David" w:hint="cs"/>
          <w:rtl/>
        </w:rPr>
        <w:t>.</w:t>
      </w:r>
      <w:r w:rsidR="00B67348" w:rsidRPr="00FD0425">
        <w:rPr>
          <w:rFonts w:cs="David" w:hint="cs"/>
          <w:rtl/>
        </w:rPr>
        <w:t>7</w:t>
      </w:r>
      <w:r w:rsidR="0071217E" w:rsidRPr="00FD0425">
        <w:rPr>
          <w:rFonts w:cs="David" w:hint="cs"/>
          <w:rtl/>
        </w:rPr>
        <w:t xml:space="preserve">% בקרב מי שאובחנו בשנים </w:t>
      </w:r>
      <w:r w:rsidR="0059194B" w:rsidRPr="00FD0425">
        <w:rPr>
          <w:rFonts w:cs="David" w:hint="cs"/>
          <w:rtl/>
        </w:rPr>
        <w:t>199</w:t>
      </w:r>
      <w:r w:rsidR="00B67348" w:rsidRPr="00FD0425">
        <w:rPr>
          <w:rFonts w:cs="David" w:hint="cs"/>
          <w:rtl/>
        </w:rPr>
        <w:t>9</w:t>
      </w:r>
      <w:r w:rsidR="0059194B" w:rsidRPr="00FD0425">
        <w:rPr>
          <w:rFonts w:cs="David" w:hint="cs"/>
          <w:rtl/>
        </w:rPr>
        <w:t>-200</w:t>
      </w:r>
      <w:r w:rsidR="00B67348" w:rsidRPr="00FD0425">
        <w:rPr>
          <w:rFonts w:cs="David" w:hint="cs"/>
          <w:rtl/>
        </w:rPr>
        <w:t>4. בקרב גברים ערבים, האחוזים ה</w:t>
      </w:r>
      <w:r w:rsidR="00FD0425">
        <w:rPr>
          <w:rFonts w:cs="David" w:hint="cs"/>
          <w:rtl/>
        </w:rPr>
        <w:t>ם</w:t>
      </w:r>
      <w:r w:rsidR="00B67348" w:rsidRPr="00FD0425">
        <w:rPr>
          <w:rFonts w:cs="David" w:hint="cs"/>
          <w:rtl/>
        </w:rPr>
        <w:t xml:space="preserve"> 86.1% ו-88.1%, בהתאמה.</w:t>
      </w:r>
    </w:p>
    <w:p w:rsidR="00E60126" w:rsidRDefault="001A12FA" w:rsidP="00E60126">
      <w:pPr>
        <w:bidi/>
        <w:spacing w:line="360" w:lineRule="auto"/>
        <w:jc w:val="both"/>
        <w:rPr>
          <w:rFonts w:cs="David"/>
          <w:rtl/>
        </w:rPr>
      </w:pPr>
      <w:r w:rsidRPr="00FD0425">
        <w:rPr>
          <w:rFonts w:cs="David"/>
          <w:rtl/>
        </w:rPr>
        <w:t>בקבוצת הגיל 65+</w:t>
      </w:r>
      <w:r w:rsidRPr="00FD0425">
        <w:rPr>
          <w:rFonts w:cs="David" w:hint="cs"/>
          <w:rtl/>
        </w:rPr>
        <w:t xml:space="preserve">, הקבוצה </w:t>
      </w:r>
      <w:r w:rsidRPr="00FD0425">
        <w:rPr>
          <w:rFonts w:cs="David"/>
          <w:rtl/>
        </w:rPr>
        <w:t xml:space="preserve">בה </w:t>
      </w:r>
      <w:r w:rsidRPr="00FD0425">
        <w:rPr>
          <w:rFonts w:cs="David" w:hint="cs"/>
          <w:rtl/>
        </w:rPr>
        <w:t>נצפי</w:t>
      </w:r>
      <w:r w:rsidRPr="00FD0425">
        <w:rPr>
          <w:rFonts w:cs="David"/>
          <w:rtl/>
        </w:rPr>
        <w:t>ת עיקר התחלואה</w:t>
      </w:r>
      <w:r w:rsidRPr="00FD0425">
        <w:rPr>
          <w:rFonts w:cs="David" w:hint="cs"/>
          <w:rtl/>
        </w:rPr>
        <w:t xml:space="preserve"> בסרטן הערמונית, </w:t>
      </w:r>
      <w:r w:rsidRPr="00FD0425">
        <w:rPr>
          <w:rFonts w:cs="David"/>
          <w:rtl/>
        </w:rPr>
        <w:t xml:space="preserve">עלו </w:t>
      </w:r>
      <w:r w:rsidR="00B67348" w:rsidRPr="00FD0425">
        <w:rPr>
          <w:rFonts w:cs="David" w:hint="cs"/>
          <w:rtl/>
        </w:rPr>
        <w:t xml:space="preserve">בגברים יהודים </w:t>
      </w:r>
      <w:r w:rsidRPr="00FD0425">
        <w:rPr>
          <w:rFonts w:cs="David"/>
          <w:rtl/>
        </w:rPr>
        <w:t>שיעורי</w:t>
      </w:r>
      <w:r w:rsidRPr="00FD0425">
        <w:rPr>
          <w:rFonts w:cs="David" w:hint="cs"/>
          <w:rtl/>
        </w:rPr>
        <w:t xml:space="preserve"> ההישרדות היחסית ל-5 שנים מ-</w:t>
      </w:r>
      <w:r w:rsidR="00B67348" w:rsidRPr="00FD0425">
        <w:rPr>
          <w:rFonts w:cs="David" w:hint="cs"/>
          <w:rtl/>
        </w:rPr>
        <w:t>90.4</w:t>
      </w:r>
      <w:r w:rsidRPr="00FD0425">
        <w:rPr>
          <w:rFonts w:cs="David" w:hint="cs"/>
          <w:rtl/>
        </w:rPr>
        <w:t xml:space="preserve">% </w:t>
      </w:r>
      <w:r w:rsidR="00B67348" w:rsidRPr="00FD0425">
        <w:rPr>
          <w:rFonts w:cs="David" w:hint="cs"/>
          <w:rtl/>
        </w:rPr>
        <w:t>בקרב מי שאובחנו בשנים 1999-2004 ל-97.3%</w:t>
      </w:r>
      <w:r w:rsidRPr="00FD0425">
        <w:rPr>
          <w:rFonts w:cs="David" w:hint="cs"/>
          <w:rtl/>
        </w:rPr>
        <w:t xml:space="preserve"> </w:t>
      </w:r>
      <w:r w:rsidR="00B67348" w:rsidRPr="00FD0425">
        <w:rPr>
          <w:rFonts w:cs="David" w:hint="cs"/>
          <w:rtl/>
        </w:rPr>
        <w:t xml:space="preserve">במי שאובחנו בשנים 2005-2009, בעוד שבגברים ערבים </w:t>
      </w:r>
      <w:r w:rsidR="00E60126">
        <w:rPr>
          <w:rFonts w:cs="David" w:hint="cs"/>
          <w:rtl/>
        </w:rPr>
        <w:t xml:space="preserve">האחוזים המקבילים היו, בהתאמה, </w:t>
      </w:r>
      <w:r w:rsidR="00B67348" w:rsidRPr="00FD0425">
        <w:rPr>
          <w:rFonts w:cs="David" w:hint="cs"/>
          <w:rtl/>
        </w:rPr>
        <w:t xml:space="preserve">87.7% </w:t>
      </w:r>
      <w:r w:rsidR="00E60126">
        <w:rPr>
          <w:rFonts w:cs="David" w:hint="cs"/>
          <w:rtl/>
        </w:rPr>
        <w:t>ו-83.9%</w:t>
      </w:r>
      <w:r w:rsidR="00B67348" w:rsidRPr="00FD0425">
        <w:rPr>
          <w:rFonts w:cs="David" w:hint="cs"/>
          <w:rtl/>
        </w:rPr>
        <w:t xml:space="preserve">. </w:t>
      </w:r>
    </w:p>
    <w:p w:rsidR="0061780A" w:rsidRDefault="0071217E" w:rsidP="00E60126">
      <w:pPr>
        <w:bidi/>
        <w:spacing w:line="360" w:lineRule="auto"/>
        <w:jc w:val="both"/>
        <w:rPr>
          <w:rFonts w:cs="David"/>
          <w:rtl/>
        </w:rPr>
      </w:pPr>
      <w:r w:rsidRPr="00FD0425">
        <w:rPr>
          <w:rFonts w:cs="David" w:hint="cs"/>
          <w:rtl/>
        </w:rPr>
        <w:lastRenderedPageBreak/>
        <w:t xml:space="preserve">כלומר, </w:t>
      </w:r>
      <w:r w:rsidR="00B67348" w:rsidRPr="00FD0425">
        <w:rPr>
          <w:rFonts w:cs="David" w:hint="cs"/>
          <w:rtl/>
        </w:rPr>
        <w:t xml:space="preserve">ההישרדות היחסית </w:t>
      </w:r>
      <w:r w:rsidR="00E60126">
        <w:rPr>
          <w:rFonts w:cs="David" w:hint="cs"/>
          <w:rtl/>
        </w:rPr>
        <w:t xml:space="preserve">מסרטן הערמונית </w:t>
      </w:r>
      <w:r w:rsidR="00B67348" w:rsidRPr="00FD0425">
        <w:rPr>
          <w:rFonts w:cs="David" w:hint="cs"/>
          <w:rtl/>
        </w:rPr>
        <w:t>גבוהה בשתי קבוצות האוכלוסייה אך יותר ביהודים בהשוואה לערבים, ו</w:t>
      </w:r>
      <w:r w:rsidRPr="00FD0425">
        <w:rPr>
          <w:rFonts w:cs="David" w:hint="cs"/>
          <w:rtl/>
        </w:rPr>
        <w:t>קיימת מגמה עיתית של עלייה בשיעור ההישרדות היחסי</w:t>
      </w:r>
      <w:r w:rsidR="00B67348" w:rsidRPr="00FD0425">
        <w:rPr>
          <w:rFonts w:cs="David" w:hint="cs"/>
          <w:rtl/>
        </w:rPr>
        <w:t>ת</w:t>
      </w:r>
      <w:r w:rsidRPr="00FD0425">
        <w:rPr>
          <w:rFonts w:cs="David" w:hint="cs"/>
          <w:rtl/>
        </w:rPr>
        <w:t xml:space="preserve"> מסרטן הערמונית</w:t>
      </w:r>
      <w:r w:rsidR="001A12FA" w:rsidRPr="00FD0425">
        <w:rPr>
          <w:rFonts w:cs="David" w:hint="cs"/>
          <w:rtl/>
        </w:rPr>
        <w:t xml:space="preserve"> </w:t>
      </w:r>
      <w:r w:rsidR="00B67348" w:rsidRPr="00FD0425">
        <w:rPr>
          <w:rFonts w:cs="David" w:hint="cs"/>
          <w:rtl/>
        </w:rPr>
        <w:t>בקרב יהודים אך בקרב ערבים</w:t>
      </w:r>
      <w:r w:rsidR="00E60126">
        <w:rPr>
          <w:rFonts w:cs="David" w:hint="cs"/>
          <w:rtl/>
        </w:rPr>
        <w:t xml:space="preserve"> ההישרדות יציבה</w:t>
      </w:r>
      <w:r w:rsidR="00215134" w:rsidRPr="00FD0425">
        <w:rPr>
          <w:rFonts w:cs="David"/>
          <w:rtl/>
        </w:rPr>
        <w:t xml:space="preserve">. </w:t>
      </w:r>
    </w:p>
    <w:p w:rsidR="00FD0425" w:rsidRPr="00FD0425" w:rsidRDefault="00FD0425" w:rsidP="00FD0425">
      <w:pPr>
        <w:bidi/>
        <w:spacing w:line="360" w:lineRule="auto"/>
        <w:jc w:val="both"/>
        <w:rPr>
          <w:rFonts w:cs="David"/>
          <w:rtl/>
        </w:rPr>
      </w:pPr>
    </w:p>
    <w:p w:rsidR="0061780A" w:rsidRPr="00843082" w:rsidRDefault="0061780A" w:rsidP="00EB3358">
      <w:pPr>
        <w:bidi/>
        <w:spacing w:line="360" w:lineRule="auto"/>
        <w:jc w:val="both"/>
        <w:rPr>
          <w:rFonts w:cs="David"/>
          <w:color w:val="0000FF"/>
          <w:rtl/>
        </w:rPr>
      </w:pPr>
      <w:r w:rsidRPr="00FE3963">
        <w:rPr>
          <w:rFonts w:cs="David" w:hint="cs"/>
          <w:b/>
          <w:bCs/>
          <w:color w:val="0000FF"/>
          <w:sz w:val="28"/>
          <w:szCs w:val="28"/>
        </w:rPr>
        <w:sym w:font="Wingdings 3" w:char="F074"/>
      </w:r>
      <w:r w:rsidRPr="00FE3963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Pr="00843082">
        <w:rPr>
          <w:rFonts w:cs="David" w:hint="cs"/>
          <w:b/>
          <w:bCs/>
          <w:color w:val="0000FF"/>
          <w:kern w:val="28"/>
          <w:sz w:val="28"/>
          <w:szCs w:val="28"/>
          <w:rtl/>
        </w:rPr>
        <w:t>שיעורי התמותה מסרטן הערמונית</w:t>
      </w:r>
      <w:r w:rsidR="00465D52" w:rsidRPr="00843082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ומגמות עיתיות</w:t>
      </w:r>
    </w:p>
    <w:p w:rsidR="00D64DFD" w:rsidRPr="00E02F6F" w:rsidRDefault="00D815A9" w:rsidP="001D3030">
      <w:pPr>
        <w:bidi/>
        <w:spacing w:line="360" w:lineRule="auto"/>
        <w:jc w:val="both"/>
        <w:rPr>
          <w:rFonts w:cs="David"/>
          <w:rtl/>
        </w:rPr>
      </w:pPr>
      <w:r w:rsidRPr="00E02F6F">
        <w:rPr>
          <w:rFonts w:cs="David" w:hint="cs"/>
          <w:rtl/>
        </w:rPr>
        <w:t>בשנת 201</w:t>
      </w:r>
      <w:r w:rsidR="00555275" w:rsidRPr="00E02F6F">
        <w:rPr>
          <w:rFonts w:cs="David" w:hint="cs"/>
          <w:rtl/>
        </w:rPr>
        <w:t>5</w:t>
      </w:r>
      <w:r w:rsidRPr="00E02F6F">
        <w:rPr>
          <w:rFonts w:cs="David" w:hint="cs"/>
          <w:rtl/>
        </w:rPr>
        <w:t xml:space="preserve"> היה </w:t>
      </w:r>
      <w:r w:rsidR="00D64DFD" w:rsidRPr="00E02F6F">
        <w:rPr>
          <w:rFonts w:cs="David" w:hint="cs"/>
          <w:rtl/>
        </w:rPr>
        <w:t>סרטן הערמונית ה</w:t>
      </w:r>
      <w:r w:rsidR="00E02F6F" w:rsidRPr="00E02F6F">
        <w:rPr>
          <w:rFonts w:cs="David" w:hint="cs"/>
          <w:rtl/>
        </w:rPr>
        <w:t xml:space="preserve">רביעי </w:t>
      </w:r>
      <w:r w:rsidR="00D64DFD" w:rsidRPr="00E02F6F">
        <w:rPr>
          <w:rFonts w:cs="David" w:hint="cs"/>
          <w:rtl/>
        </w:rPr>
        <w:t xml:space="preserve">בשכיחותו </w:t>
      </w:r>
      <w:r w:rsidR="00E02F6F" w:rsidRPr="00E02F6F">
        <w:rPr>
          <w:rFonts w:cs="David" w:hint="cs"/>
          <w:rtl/>
        </w:rPr>
        <w:t xml:space="preserve">כגורם לתמותה מסרטן </w:t>
      </w:r>
      <w:r w:rsidR="00C2734C" w:rsidRPr="00E02F6F">
        <w:rPr>
          <w:rFonts w:cs="David" w:hint="cs"/>
          <w:rtl/>
        </w:rPr>
        <w:t>ב</w:t>
      </w:r>
      <w:r w:rsidR="00E02F6F" w:rsidRPr="00E02F6F">
        <w:rPr>
          <w:rFonts w:cs="David" w:hint="cs"/>
          <w:rtl/>
        </w:rPr>
        <w:t xml:space="preserve">קרב </w:t>
      </w:r>
      <w:r w:rsidR="00C2734C" w:rsidRPr="00E02F6F">
        <w:rPr>
          <w:rFonts w:cs="David" w:hint="cs"/>
          <w:rtl/>
        </w:rPr>
        <w:t>גברים בישראל (8.</w:t>
      </w:r>
      <w:r w:rsidR="00E02F6F" w:rsidRPr="00E02F6F">
        <w:rPr>
          <w:rFonts w:cs="David" w:hint="cs"/>
          <w:rtl/>
        </w:rPr>
        <w:t>2</w:t>
      </w:r>
      <w:r w:rsidR="00C2734C" w:rsidRPr="00E02F6F">
        <w:rPr>
          <w:rFonts w:cs="David" w:hint="cs"/>
          <w:rtl/>
        </w:rPr>
        <w:t>%)</w:t>
      </w:r>
      <w:r w:rsidR="000837DE" w:rsidRPr="00E02F6F">
        <w:rPr>
          <w:rFonts w:cs="David" w:hint="cs"/>
          <w:rtl/>
        </w:rPr>
        <w:t>, אחרי סרטן</w:t>
      </w:r>
      <w:r w:rsidR="00C2734C" w:rsidRPr="00E02F6F">
        <w:rPr>
          <w:rFonts w:cs="David" w:hint="cs"/>
          <w:rtl/>
        </w:rPr>
        <w:t xml:space="preserve"> הריאה, סרטן המעי הגס והחלחולת וסרטן הלבלב</w:t>
      </w:r>
      <w:r w:rsidR="000837DE" w:rsidRPr="00E02F6F">
        <w:rPr>
          <w:rFonts w:cs="David" w:hint="cs"/>
          <w:rtl/>
        </w:rPr>
        <w:t xml:space="preserve">. </w:t>
      </w:r>
      <w:r w:rsidR="00843082" w:rsidRPr="001D3030">
        <w:rPr>
          <w:rFonts w:cs="David" w:hint="cs"/>
          <w:rtl/>
        </w:rPr>
        <w:t xml:space="preserve">בקרב גברים יהודים </w:t>
      </w:r>
      <w:r w:rsidR="00A27E9E" w:rsidRPr="001D3030">
        <w:rPr>
          <w:rFonts w:cs="David" w:hint="cs"/>
          <w:rtl/>
        </w:rPr>
        <w:t xml:space="preserve">היה </w:t>
      </w:r>
      <w:r w:rsidR="007C5DA8" w:rsidRPr="001D3030">
        <w:rPr>
          <w:rFonts w:cs="David" w:hint="cs"/>
          <w:rtl/>
        </w:rPr>
        <w:t xml:space="preserve">סרטן הערמונית </w:t>
      </w:r>
      <w:r w:rsidR="00FF77FB" w:rsidRPr="001D3030">
        <w:rPr>
          <w:rFonts w:cs="David" w:hint="cs"/>
          <w:rtl/>
        </w:rPr>
        <w:t>ה</w:t>
      </w:r>
      <w:r w:rsidR="000837DE" w:rsidRPr="001D3030">
        <w:rPr>
          <w:rFonts w:cs="David" w:hint="cs"/>
          <w:rtl/>
        </w:rPr>
        <w:t xml:space="preserve">שלישי </w:t>
      </w:r>
      <w:r w:rsidR="00FF77FB" w:rsidRPr="001D3030">
        <w:rPr>
          <w:rFonts w:cs="David" w:hint="cs"/>
          <w:rtl/>
        </w:rPr>
        <w:t>בשכיחותו</w:t>
      </w:r>
      <w:r w:rsidR="007C5DA8" w:rsidRPr="001D3030">
        <w:rPr>
          <w:rFonts w:cs="David" w:hint="cs"/>
          <w:rtl/>
        </w:rPr>
        <w:t xml:space="preserve"> כגורם תמותה (</w:t>
      </w:r>
      <w:r w:rsidR="001D3030" w:rsidRPr="001D3030">
        <w:rPr>
          <w:rFonts w:cs="David" w:hint="cs"/>
          <w:rtl/>
        </w:rPr>
        <w:t>9</w:t>
      </w:r>
      <w:r w:rsidR="000837DE" w:rsidRPr="001D3030">
        <w:rPr>
          <w:rFonts w:cs="David" w:hint="cs"/>
          <w:rtl/>
        </w:rPr>
        <w:t>.</w:t>
      </w:r>
      <w:r w:rsidR="001D3030" w:rsidRPr="001D3030">
        <w:rPr>
          <w:rFonts w:cs="David" w:hint="cs"/>
          <w:rtl/>
        </w:rPr>
        <w:t>0</w:t>
      </w:r>
      <w:r w:rsidR="007C5DA8" w:rsidRPr="001D3030">
        <w:rPr>
          <w:rFonts w:cs="David" w:hint="cs"/>
          <w:rtl/>
        </w:rPr>
        <w:t>% מכלל התמותה מסרטן) אחרי סרטן הריאה</w:t>
      </w:r>
      <w:r w:rsidR="000837DE" w:rsidRPr="001D3030">
        <w:rPr>
          <w:rFonts w:cs="David" w:hint="cs"/>
          <w:rtl/>
        </w:rPr>
        <w:t xml:space="preserve"> ו</w:t>
      </w:r>
      <w:r w:rsidR="007C5DA8" w:rsidRPr="001D3030">
        <w:rPr>
          <w:rFonts w:cs="David" w:hint="cs"/>
          <w:rtl/>
        </w:rPr>
        <w:t>סרטן המעי הגס והחלחולת</w:t>
      </w:r>
      <w:r w:rsidR="00FF77FB" w:rsidRPr="001D3030">
        <w:rPr>
          <w:rFonts w:cs="David" w:hint="cs"/>
          <w:rtl/>
        </w:rPr>
        <w:t>; בקרב גברים ערבים ה</w:t>
      </w:r>
      <w:r w:rsidR="00A27E9E" w:rsidRPr="001D3030">
        <w:rPr>
          <w:rFonts w:cs="David" w:hint="cs"/>
          <w:rtl/>
        </w:rPr>
        <w:t xml:space="preserve">יה סרטן הערמונית </w:t>
      </w:r>
      <w:r w:rsidR="00FF77FB" w:rsidRPr="001D3030">
        <w:rPr>
          <w:rFonts w:cs="David" w:hint="cs"/>
          <w:rtl/>
        </w:rPr>
        <w:t>ה</w:t>
      </w:r>
      <w:r w:rsidR="001D3030" w:rsidRPr="001D3030">
        <w:rPr>
          <w:rFonts w:cs="David" w:hint="cs"/>
          <w:rtl/>
        </w:rPr>
        <w:t>רביע</w:t>
      </w:r>
      <w:r w:rsidRPr="001D3030">
        <w:rPr>
          <w:rFonts w:cs="David" w:hint="cs"/>
          <w:rtl/>
        </w:rPr>
        <w:t xml:space="preserve">י </w:t>
      </w:r>
      <w:r w:rsidR="00FF77FB" w:rsidRPr="001D3030">
        <w:rPr>
          <w:rFonts w:cs="David" w:hint="cs"/>
          <w:rtl/>
        </w:rPr>
        <w:t>בשכיחותו</w:t>
      </w:r>
      <w:r w:rsidR="007C5DA8" w:rsidRPr="001D3030">
        <w:rPr>
          <w:rFonts w:cs="David" w:hint="cs"/>
          <w:rtl/>
        </w:rPr>
        <w:t xml:space="preserve"> (</w:t>
      </w:r>
      <w:r w:rsidR="000837DE" w:rsidRPr="001D3030">
        <w:rPr>
          <w:rFonts w:cs="David" w:hint="cs"/>
          <w:rtl/>
        </w:rPr>
        <w:t>5.</w:t>
      </w:r>
      <w:r w:rsidR="001D3030" w:rsidRPr="001D3030">
        <w:rPr>
          <w:rFonts w:cs="David" w:hint="cs"/>
          <w:rtl/>
        </w:rPr>
        <w:t>8</w:t>
      </w:r>
      <w:r w:rsidR="007C5DA8" w:rsidRPr="001D3030">
        <w:rPr>
          <w:rFonts w:cs="David" w:hint="cs"/>
          <w:rtl/>
        </w:rPr>
        <w:t>% מכלל התמותה מסרטן) אחרי סרטן הריאה, סרטן המעי הגס והחלחולת</w:t>
      </w:r>
      <w:r w:rsidR="001D3030" w:rsidRPr="001D3030">
        <w:rPr>
          <w:rFonts w:cs="David" w:hint="cs"/>
          <w:rtl/>
        </w:rPr>
        <w:t xml:space="preserve"> ו</w:t>
      </w:r>
      <w:r w:rsidR="000837DE" w:rsidRPr="001D3030">
        <w:rPr>
          <w:rFonts w:cs="David" w:hint="cs"/>
          <w:rtl/>
        </w:rPr>
        <w:t>סרטן הלבלב</w:t>
      </w:r>
      <w:r w:rsidR="00FE2754" w:rsidRPr="001D3030">
        <w:rPr>
          <w:rFonts w:cs="David" w:hint="cs"/>
          <w:rtl/>
        </w:rPr>
        <w:t xml:space="preserve">. </w:t>
      </w:r>
      <w:r w:rsidR="001D3030" w:rsidRPr="001D3030">
        <w:rPr>
          <w:rFonts w:cs="David" w:hint="cs"/>
          <w:rtl/>
        </w:rPr>
        <w:t>בקרב גברים "אחרים" היה סרטן הערמונית השלישי ב</w:t>
      </w:r>
      <w:r w:rsidR="001D3030">
        <w:rPr>
          <w:rFonts w:cs="David" w:hint="cs"/>
          <w:rtl/>
        </w:rPr>
        <w:t>ש</w:t>
      </w:r>
      <w:r w:rsidR="001D3030" w:rsidRPr="001D3030">
        <w:rPr>
          <w:rFonts w:cs="David" w:hint="cs"/>
          <w:rtl/>
        </w:rPr>
        <w:t>כיחותו כגורם תמותה (8.5% מכלל התמותה מסרטן), אחרי סרטן הריאה וסרטן המעי הגס והחלחולת.</w:t>
      </w:r>
      <w:r w:rsidR="001D3030">
        <w:rPr>
          <w:rFonts w:cs="David" w:hint="cs"/>
          <w:rtl/>
        </w:rPr>
        <w:t xml:space="preserve"> </w:t>
      </w:r>
    </w:p>
    <w:p w:rsidR="00787BCA" w:rsidRPr="001E2150" w:rsidRDefault="00582358" w:rsidP="001E2150">
      <w:pPr>
        <w:bidi/>
        <w:spacing w:line="360" w:lineRule="auto"/>
        <w:jc w:val="both"/>
        <w:rPr>
          <w:rFonts w:cs="David"/>
          <w:rtl/>
        </w:rPr>
      </w:pPr>
      <w:r w:rsidRPr="001D3030">
        <w:rPr>
          <w:rFonts w:cs="David"/>
          <w:rtl/>
        </w:rPr>
        <w:t>בשנת</w:t>
      </w:r>
      <w:r w:rsidR="00C8587E" w:rsidRPr="001D3030">
        <w:rPr>
          <w:rFonts w:cs="David" w:hint="cs"/>
          <w:rtl/>
        </w:rPr>
        <w:t xml:space="preserve"> 201</w:t>
      </w:r>
      <w:r w:rsidR="00555275" w:rsidRPr="001D3030">
        <w:rPr>
          <w:rFonts w:cs="David" w:hint="cs"/>
          <w:rtl/>
        </w:rPr>
        <w:t>5</w:t>
      </w:r>
      <w:r w:rsidR="00C8587E" w:rsidRPr="001D3030">
        <w:rPr>
          <w:rFonts w:cs="David" w:hint="cs"/>
          <w:rtl/>
        </w:rPr>
        <w:t xml:space="preserve"> </w:t>
      </w:r>
      <w:r w:rsidRPr="001D3030">
        <w:rPr>
          <w:rFonts w:cs="David" w:hint="cs"/>
          <w:rtl/>
        </w:rPr>
        <w:t>נפטרו בישראל</w:t>
      </w:r>
      <w:r w:rsidR="004C19CB" w:rsidRPr="001D3030">
        <w:rPr>
          <w:rFonts w:cs="David" w:hint="cs"/>
          <w:rtl/>
        </w:rPr>
        <w:t xml:space="preserve"> </w:t>
      </w:r>
      <w:r w:rsidRPr="001D3030">
        <w:rPr>
          <w:rFonts w:cs="David" w:hint="cs"/>
          <w:rtl/>
        </w:rPr>
        <w:t xml:space="preserve"> </w:t>
      </w:r>
      <w:r w:rsidR="00C2734C" w:rsidRPr="001D3030">
        <w:rPr>
          <w:rFonts w:cs="David" w:hint="cs"/>
          <w:b/>
          <w:bCs/>
          <w:rtl/>
        </w:rPr>
        <w:t>4</w:t>
      </w:r>
      <w:r w:rsidR="001D3030" w:rsidRPr="001D3030">
        <w:rPr>
          <w:rFonts w:cs="David" w:hint="cs"/>
          <w:b/>
          <w:bCs/>
          <w:rtl/>
        </w:rPr>
        <w:t>66</w:t>
      </w:r>
      <w:r w:rsidR="00C2734C" w:rsidRPr="001D3030">
        <w:rPr>
          <w:rFonts w:cs="David" w:hint="cs"/>
          <w:rtl/>
        </w:rPr>
        <w:t xml:space="preserve"> </w:t>
      </w:r>
      <w:r w:rsidRPr="001D3030">
        <w:rPr>
          <w:rFonts w:cs="David" w:hint="cs"/>
          <w:rtl/>
        </w:rPr>
        <w:t xml:space="preserve">גברים </w:t>
      </w:r>
      <w:r w:rsidR="00ED6B7E" w:rsidRPr="001D3030">
        <w:rPr>
          <w:rFonts w:cs="David" w:hint="cs"/>
          <w:rtl/>
        </w:rPr>
        <w:t>מ</w:t>
      </w:r>
      <w:r w:rsidR="00FE3963" w:rsidRPr="001D3030">
        <w:rPr>
          <w:rFonts w:cs="David" w:hint="cs"/>
          <w:rtl/>
        </w:rPr>
        <w:t>סרטן חודרני של הערמונית, מהם</w:t>
      </w:r>
      <w:r w:rsidR="005377AA" w:rsidRPr="001D3030">
        <w:rPr>
          <w:rFonts w:cs="David" w:hint="cs"/>
          <w:rtl/>
        </w:rPr>
        <w:t xml:space="preserve"> </w:t>
      </w:r>
      <w:r w:rsidR="001D3030" w:rsidRPr="001D3030">
        <w:rPr>
          <w:rFonts w:cs="David" w:hint="cs"/>
          <w:rtl/>
        </w:rPr>
        <w:t>408</w:t>
      </w:r>
      <w:r w:rsidR="005377AA" w:rsidRPr="001D3030">
        <w:rPr>
          <w:rFonts w:cs="David" w:hint="cs"/>
          <w:rtl/>
        </w:rPr>
        <w:t xml:space="preserve"> </w:t>
      </w:r>
      <w:r w:rsidR="00FF79E5" w:rsidRPr="001D3030">
        <w:rPr>
          <w:rFonts w:cs="David" w:hint="cs"/>
          <w:rtl/>
        </w:rPr>
        <w:t>(</w:t>
      </w:r>
      <w:r w:rsidR="00C2734C" w:rsidRPr="001D3030">
        <w:rPr>
          <w:rFonts w:cs="David" w:hint="cs"/>
          <w:rtl/>
        </w:rPr>
        <w:t>8</w:t>
      </w:r>
      <w:r w:rsidR="001D3030" w:rsidRPr="001D3030">
        <w:rPr>
          <w:rFonts w:cs="David" w:hint="cs"/>
          <w:rtl/>
        </w:rPr>
        <w:t>7</w:t>
      </w:r>
      <w:r w:rsidR="005377AA" w:rsidRPr="001D3030">
        <w:rPr>
          <w:rFonts w:cs="David" w:hint="cs"/>
          <w:rtl/>
        </w:rPr>
        <w:t>.</w:t>
      </w:r>
      <w:r w:rsidR="001D3030" w:rsidRPr="001D3030">
        <w:rPr>
          <w:rFonts w:cs="David" w:hint="cs"/>
          <w:rtl/>
        </w:rPr>
        <w:t>6</w:t>
      </w:r>
      <w:r w:rsidR="00FF79E5" w:rsidRPr="001D3030">
        <w:rPr>
          <w:rFonts w:cs="David" w:hint="cs"/>
          <w:rtl/>
        </w:rPr>
        <w:t xml:space="preserve">%) </w:t>
      </w:r>
      <w:r w:rsidRPr="001D3030">
        <w:rPr>
          <w:rFonts w:cs="David" w:hint="cs"/>
          <w:rtl/>
        </w:rPr>
        <w:t xml:space="preserve">יהודים, </w:t>
      </w:r>
      <w:r w:rsidR="00C2734C" w:rsidRPr="001D3030">
        <w:rPr>
          <w:rFonts w:cs="David" w:hint="cs"/>
          <w:rtl/>
        </w:rPr>
        <w:t>3</w:t>
      </w:r>
      <w:r w:rsidR="001D3030" w:rsidRPr="001D3030">
        <w:rPr>
          <w:rFonts w:cs="David" w:hint="cs"/>
          <w:rtl/>
        </w:rPr>
        <w:t>6</w:t>
      </w:r>
      <w:r w:rsidRPr="001D3030">
        <w:rPr>
          <w:rFonts w:cs="David" w:hint="cs"/>
          <w:rtl/>
        </w:rPr>
        <w:t xml:space="preserve"> </w:t>
      </w:r>
      <w:r w:rsidR="00FF79E5" w:rsidRPr="001D3030">
        <w:rPr>
          <w:rFonts w:cs="David" w:hint="cs"/>
          <w:rtl/>
        </w:rPr>
        <w:t>(</w:t>
      </w:r>
      <w:r w:rsidR="001D3030" w:rsidRPr="001D3030">
        <w:rPr>
          <w:rFonts w:cs="David" w:hint="cs"/>
          <w:rtl/>
        </w:rPr>
        <w:t>7</w:t>
      </w:r>
      <w:r w:rsidR="005377AA" w:rsidRPr="001D3030">
        <w:rPr>
          <w:rFonts w:cs="David" w:hint="cs"/>
          <w:rtl/>
        </w:rPr>
        <w:t>.</w:t>
      </w:r>
      <w:r w:rsidR="001D3030" w:rsidRPr="001D3030">
        <w:rPr>
          <w:rFonts w:cs="David" w:hint="cs"/>
          <w:rtl/>
        </w:rPr>
        <w:t>7</w:t>
      </w:r>
      <w:r w:rsidR="00FF79E5" w:rsidRPr="001D3030">
        <w:rPr>
          <w:rFonts w:cs="David" w:hint="cs"/>
          <w:rtl/>
        </w:rPr>
        <w:t xml:space="preserve">%) </w:t>
      </w:r>
      <w:r w:rsidRPr="001D3030">
        <w:rPr>
          <w:rFonts w:cs="David" w:hint="cs"/>
          <w:rtl/>
        </w:rPr>
        <w:t>ערבים ו-</w:t>
      </w:r>
      <w:r w:rsidR="001D3030" w:rsidRPr="001D3030">
        <w:rPr>
          <w:rFonts w:cs="David" w:hint="cs"/>
          <w:rtl/>
        </w:rPr>
        <w:t>22</w:t>
      </w:r>
      <w:r w:rsidRPr="001D3030">
        <w:rPr>
          <w:rFonts w:cs="David" w:hint="cs"/>
          <w:rtl/>
        </w:rPr>
        <w:t xml:space="preserve"> </w:t>
      </w:r>
      <w:r w:rsidR="00FF79E5" w:rsidRPr="001D3030">
        <w:rPr>
          <w:rFonts w:cs="David" w:hint="cs"/>
          <w:rtl/>
        </w:rPr>
        <w:t>(</w:t>
      </w:r>
      <w:r w:rsidR="00A27E9E" w:rsidRPr="001D3030">
        <w:rPr>
          <w:rFonts w:cs="David" w:hint="cs"/>
          <w:rtl/>
        </w:rPr>
        <w:t>4</w:t>
      </w:r>
      <w:r w:rsidR="005377AA" w:rsidRPr="001D3030">
        <w:rPr>
          <w:rFonts w:cs="David" w:hint="cs"/>
          <w:rtl/>
        </w:rPr>
        <w:t>.</w:t>
      </w:r>
      <w:r w:rsidR="001D3030" w:rsidRPr="001D3030">
        <w:rPr>
          <w:rFonts w:cs="David" w:hint="cs"/>
          <w:rtl/>
        </w:rPr>
        <w:t>7</w:t>
      </w:r>
      <w:r w:rsidR="00FF79E5" w:rsidRPr="001E2150">
        <w:rPr>
          <w:rFonts w:cs="David" w:hint="cs"/>
          <w:rtl/>
        </w:rPr>
        <w:t xml:space="preserve">%) </w:t>
      </w:r>
      <w:r w:rsidRPr="001E2150">
        <w:rPr>
          <w:rFonts w:cs="David" w:hint="cs"/>
          <w:rtl/>
        </w:rPr>
        <w:t>"אחרים".</w:t>
      </w:r>
      <w:r w:rsidR="00FE3963" w:rsidRPr="001E2150">
        <w:rPr>
          <w:rFonts w:cs="David" w:hint="cs"/>
          <w:rtl/>
        </w:rPr>
        <w:t xml:space="preserve"> </w:t>
      </w:r>
      <w:r w:rsidR="00D42218" w:rsidRPr="001E2150">
        <w:rPr>
          <w:rFonts w:cs="David" w:hint="cs"/>
          <w:rtl/>
        </w:rPr>
        <w:t>שיעורי התמותה המתוקננים לגיל</w:t>
      </w:r>
      <w:r w:rsidR="00D42218" w:rsidRPr="001E2150">
        <w:rPr>
          <w:rFonts w:cs="David"/>
          <w:rtl/>
        </w:rPr>
        <w:t xml:space="preserve"> </w:t>
      </w:r>
      <w:r w:rsidR="000837DE" w:rsidRPr="001E2150">
        <w:rPr>
          <w:rFonts w:cs="David" w:hint="cs"/>
          <w:rtl/>
        </w:rPr>
        <w:t>(ל-100,000) מסרטן הערמונית בשנת 201</w:t>
      </w:r>
      <w:r w:rsidR="00555275" w:rsidRPr="001E2150">
        <w:rPr>
          <w:rFonts w:cs="David" w:hint="cs"/>
          <w:rtl/>
        </w:rPr>
        <w:t>5</w:t>
      </w:r>
      <w:r w:rsidR="00D42218" w:rsidRPr="001E2150">
        <w:rPr>
          <w:rFonts w:cs="David" w:hint="cs"/>
          <w:rtl/>
        </w:rPr>
        <w:t xml:space="preserve"> היו </w:t>
      </w:r>
      <w:r w:rsidR="001A12FA" w:rsidRPr="001E2150">
        <w:rPr>
          <w:rFonts w:cs="David" w:hint="cs"/>
          <w:rtl/>
        </w:rPr>
        <w:t>6.</w:t>
      </w:r>
      <w:r w:rsidR="001E2150" w:rsidRPr="001E2150">
        <w:rPr>
          <w:rFonts w:cs="David" w:hint="cs"/>
          <w:rtl/>
        </w:rPr>
        <w:t>4</w:t>
      </w:r>
      <w:r w:rsidR="00D42218" w:rsidRPr="001E2150">
        <w:rPr>
          <w:rFonts w:cs="David" w:hint="cs"/>
          <w:rtl/>
        </w:rPr>
        <w:t xml:space="preserve"> </w:t>
      </w:r>
      <w:r w:rsidR="000837DE" w:rsidRPr="001E2150">
        <w:rPr>
          <w:rFonts w:cs="David" w:hint="cs"/>
          <w:rtl/>
        </w:rPr>
        <w:t xml:space="preserve">ביהודים, </w:t>
      </w:r>
      <w:r w:rsidR="001E2150" w:rsidRPr="001E2150">
        <w:rPr>
          <w:rFonts w:cs="David" w:hint="cs"/>
          <w:rtl/>
        </w:rPr>
        <w:t>6</w:t>
      </w:r>
      <w:r w:rsidR="00C2734C" w:rsidRPr="001E2150">
        <w:rPr>
          <w:rFonts w:cs="David" w:hint="cs"/>
          <w:rtl/>
        </w:rPr>
        <w:t>.</w:t>
      </w:r>
      <w:r w:rsidR="001E2150" w:rsidRPr="001E2150">
        <w:rPr>
          <w:rFonts w:cs="David" w:hint="cs"/>
          <w:rtl/>
        </w:rPr>
        <w:t>5</w:t>
      </w:r>
      <w:r w:rsidR="00D42218" w:rsidRPr="001E2150">
        <w:rPr>
          <w:rFonts w:cs="David" w:hint="cs"/>
          <w:rtl/>
        </w:rPr>
        <w:t xml:space="preserve"> בערבים</w:t>
      </w:r>
      <w:r w:rsidR="000837DE" w:rsidRPr="001E2150">
        <w:rPr>
          <w:rFonts w:cs="David" w:hint="cs"/>
          <w:rtl/>
        </w:rPr>
        <w:t xml:space="preserve"> ו-</w:t>
      </w:r>
      <w:r w:rsidR="001E2150" w:rsidRPr="001E2150">
        <w:rPr>
          <w:rFonts w:cs="David" w:hint="cs"/>
          <w:rtl/>
        </w:rPr>
        <w:t>11</w:t>
      </w:r>
      <w:r w:rsidR="00C2734C" w:rsidRPr="001E2150">
        <w:rPr>
          <w:rFonts w:cs="David" w:hint="cs"/>
          <w:rtl/>
        </w:rPr>
        <w:t>.</w:t>
      </w:r>
      <w:r w:rsidR="001E2150" w:rsidRPr="001E2150">
        <w:rPr>
          <w:rFonts w:cs="David" w:hint="cs"/>
          <w:rtl/>
        </w:rPr>
        <w:t>0</w:t>
      </w:r>
      <w:r w:rsidR="000837DE" w:rsidRPr="001E2150">
        <w:rPr>
          <w:rFonts w:cs="David" w:hint="cs"/>
          <w:rtl/>
        </w:rPr>
        <w:t xml:space="preserve"> ב"אחרים".</w:t>
      </w:r>
    </w:p>
    <w:p w:rsidR="000837DE" w:rsidRPr="00E02F6F" w:rsidRDefault="000837DE" w:rsidP="00555275">
      <w:pPr>
        <w:bidi/>
        <w:spacing w:line="360" w:lineRule="auto"/>
        <w:jc w:val="both"/>
        <w:rPr>
          <w:rFonts w:cs="David"/>
          <w:rtl/>
        </w:rPr>
      </w:pPr>
      <w:r w:rsidRPr="001E2150">
        <w:rPr>
          <w:rFonts w:cs="David" w:hint="cs"/>
          <w:rtl/>
        </w:rPr>
        <w:t>המגמות העתיות של תמותה מסרטן הערמונית בין השנים 19</w:t>
      </w:r>
      <w:r w:rsidR="004A0A54" w:rsidRPr="001E2150">
        <w:rPr>
          <w:rFonts w:cs="David" w:hint="cs"/>
          <w:rtl/>
        </w:rPr>
        <w:t>9</w:t>
      </w:r>
      <w:r w:rsidRPr="001E2150">
        <w:rPr>
          <w:rFonts w:cs="David" w:hint="cs"/>
          <w:rtl/>
        </w:rPr>
        <w:t>0 ו-201</w:t>
      </w:r>
      <w:r w:rsidR="00555275" w:rsidRPr="001E2150">
        <w:rPr>
          <w:rFonts w:cs="David" w:hint="cs"/>
          <w:rtl/>
        </w:rPr>
        <w:t>5</w:t>
      </w:r>
      <w:r w:rsidRPr="001E2150">
        <w:rPr>
          <w:rFonts w:cs="David" w:hint="cs"/>
          <w:rtl/>
        </w:rPr>
        <w:t xml:space="preserve"> נבח</w:t>
      </w:r>
      <w:r w:rsidRPr="00E02F6F">
        <w:rPr>
          <w:rFonts w:cs="David" w:hint="cs"/>
          <w:rtl/>
        </w:rPr>
        <w:t xml:space="preserve">נו באמצעות תכנת </w:t>
      </w:r>
      <w:r w:rsidRPr="00E02F6F">
        <w:rPr>
          <w:rFonts w:cs="David"/>
        </w:rPr>
        <w:t>JoinPoint</w:t>
      </w:r>
      <w:r w:rsidRPr="00E02F6F">
        <w:rPr>
          <w:rFonts w:cs="David" w:hint="cs"/>
          <w:rtl/>
        </w:rPr>
        <w:t xml:space="preserve">, המאפשרת לזהות שינוי מובהק במגמה ולחשב את אחוז השינוי השנתי הממוצע </w:t>
      </w:r>
      <w:r w:rsidRPr="00E02F6F">
        <w:rPr>
          <w:rFonts w:cs="David"/>
        </w:rPr>
        <w:t>(APC)</w:t>
      </w:r>
      <w:r w:rsidRPr="00E02F6F">
        <w:rPr>
          <w:rFonts w:cs="David" w:hint="cs"/>
          <w:rtl/>
        </w:rPr>
        <w:t>. בגלל חוסר מידע לגבי שיעור ה</w:t>
      </w:r>
      <w:r w:rsidR="007D5E26" w:rsidRPr="00E02F6F">
        <w:rPr>
          <w:rFonts w:cs="David" w:hint="cs"/>
          <w:rtl/>
        </w:rPr>
        <w:t>תמותה</w:t>
      </w:r>
      <w:r w:rsidRPr="00E02F6F">
        <w:rPr>
          <w:rFonts w:cs="David" w:hint="cs"/>
          <w:rtl/>
        </w:rPr>
        <w:t xml:space="preserve"> ב"אחרים" עבור השנים המוקדמות יותר, לא מוצגות עבורם המגמות העתיות.</w:t>
      </w:r>
    </w:p>
    <w:p w:rsidR="0021655B" w:rsidRPr="00E02F6F" w:rsidRDefault="0021655B" w:rsidP="00AE7709">
      <w:pPr>
        <w:bidi/>
        <w:spacing w:line="360" w:lineRule="auto"/>
        <w:jc w:val="both"/>
        <w:rPr>
          <w:rFonts w:cs="David"/>
          <w:rtl/>
        </w:rPr>
      </w:pPr>
      <w:r w:rsidRPr="00E02F6F">
        <w:rPr>
          <w:rFonts w:cs="David" w:hint="cs"/>
          <w:rtl/>
        </w:rPr>
        <w:t xml:space="preserve">בגברים יהודים </w:t>
      </w:r>
      <w:r w:rsidR="007D5E26" w:rsidRPr="00E02F6F">
        <w:rPr>
          <w:rFonts w:cs="David" w:hint="cs"/>
          <w:rtl/>
        </w:rPr>
        <w:t xml:space="preserve">נצפתה </w:t>
      </w:r>
      <w:r w:rsidRPr="00E02F6F">
        <w:rPr>
          <w:rFonts w:cs="David" w:hint="cs"/>
          <w:rtl/>
        </w:rPr>
        <w:t xml:space="preserve">מגמת עלייה </w:t>
      </w:r>
      <w:r w:rsidRPr="00E02F6F">
        <w:rPr>
          <w:rFonts w:cs="David" w:hint="cs"/>
          <w:b/>
          <w:bCs/>
          <w:rtl/>
        </w:rPr>
        <w:t>מובהקת</w:t>
      </w:r>
      <w:r w:rsidRPr="00E02F6F">
        <w:rPr>
          <w:rFonts w:cs="David" w:hint="cs"/>
          <w:rtl/>
        </w:rPr>
        <w:t xml:space="preserve"> וגבוהה</w:t>
      </w:r>
      <w:r w:rsidR="007D5E26" w:rsidRPr="00E02F6F">
        <w:rPr>
          <w:rFonts w:cs="David" w:hint="cs"/>
          <w:rtl/>
        </w:rPr>
        <w:t xml:space="preserve"> (</w:t>
      </w:r>
      <w:r w:rsidR="007D5E26" w:rsidRPr="00E02F6F">
        <w:rPr>
          <w:rFonts w:cs="David"/>
        </w:rPr>
        <w:t>APC=+</w:t>
      </w:r>
      <w:r w:rsidR="00AE7709" w:rsidRPr="00E02F6F">
        <w:rPr>
          <w:rFonts w:cs="David"/>
        </w:rPr>
        <w:t>47.9</w:t>
      </w:r>
      <w:r w:rsidR="007D5E26" w:rsidRPr="00E02F6F">
        <w:rPr>
          <w:rFonts w:cs="David"/>
        </w:rPr>
        <w:t>%</w:t>
      </w:r>
      <w:r w:rsidR="007D5E26" w:rsidRPr="00E02F6F">
        <w:rPr>
          <w:rFonts w:cs="David" w:hint="cs"/>
          <w:rtl/>
        </w:rPr>
        <w:t xml:space="preserve">) בתמותה מהמחלה בשנים </w:t>
      </w:r>
      <w:r w:rsidR="00AE7709" w:rsidRPr="00E02F6F">
        <w:rPr>
          <w:rFonts w:cs="David" w:hint="cs"/>
          <w:rtl/>
        </w:rPr>
        <w:t>1990</w:t>
      </w:r>
      <w:r w:rsidR="007D5E26" w:rsidRPr="00E02F6F">
        <w:rPr>
          <w:rFonts w:cs="David" w:hint="cs"/>
          <w:rtl/>
        </w:rPr>
        <w:t>-199</w:t>
      </w:r>
      <w:r w:rsidR="00AE7709" w:rsidRPr="00E02F6F">
        <w:rPr>
          <w:rFonts w:cs="David" w:hint="cs"/>
          <w:rtl/>
        </w:rPr>
        <w:t>5</w:t>
      </w:r>
      <w:r w:rsidR="007D5E26" w:rsidRPr="00E02F6F">
        <w:rPr>
          <w:rFonts w:cs="David" w:hint="cs"/>
          <w:rtl/>
        </w:rPr>
        <w:t xml:space="preserve">. </w:t>
      </w:r>
      <w:r w:rsidRPr="00E02F6F">
        <w:rPr>
          <w:rFonts w:cs="David" w:hint="cs"/>
          <w:rtl/>
        </w:rPr>
        <w:t>בשנים שלאחר מכן, 199</w:t>
      </w:r>
      <w:r w:rsidR="00AE7709" w:rsidRPr="00E02F6F">
        <w:rPr>
          <w:rFonts w:cs="David" w:hint="cs"/>
          <w:rtl/>
        </w:rPr>
        <w:t>5</w:t>
      </w:r>
      <w:r w:rsidRPr="00E02F6F">
        <w:rPr>
          <w:rFonts w:cs="David" w:hint="cs"/>
          <w:rtl/>
        </w:rPr>
        <w:t>-201</w:t>
      </w:r>
      <w:r w:rsidR="00AE7709" w:rsidRPr="00E02F6F">
        <w:rPr>
          <w:rFonts w:cs="David" w:hint="cs"/>
          <w:rtl/>
        </w:rPr>
        <w:t>5</w:t>
      </w:r>
      <w:r w:rsidRPr="00E02F6F">
        <w:rPr>
          <w:rFonts w:cs="David" w:hint="cs"/>
          <w:rtl/>
        </w:rPr>
        <w:t xml:space="preserve">, נצפתה מגמת ירידה עקבית </w:t>
      </w:r>
      <w:r w:rsidRPr="00E02F6F">
        <w:rPr>
          <w:rFonts w:cs="David" w:hint="cs"/>
          <w:b/>
          <w:bCs/>
          <w:rtl/>
        </w:rPr>
        <w:t>מובהקת</w:t>
      </w:r>
      <w:r w:rsidR="007D5E26" w:rsidRPr="00E02F6F">
        <w:rPr>
          <w:rFonts w:cs="David" w:hint="cs"/>
          <w:rtl/>
        </w:rPr>
        <w:t xml:space="preserve"> (</w:t>
      </w:r>
      <w:r w:rsidR="007D5E26" w:rsidRPr="00E02F6F">
        <w:rPr>
          <w:rFonts w:cs="David"/>
        </w:rPr>
        <w:t>APC=-</w:t>
      </w:r>
      <w:r w:rsidR="00B83C6A" w:rsidRPr="00E02F6F">
        <w:rPr>
          <w:rFonts w:cs="David"/>
        </w:rPr>
        <w:t>3</w:t>
      </w:r>
      <w:r w:rsidR="007D5E26" w:rsidRPr="00E02F6F">
        <w:rPr>
          <w:rFonts w:cs="David"/>
        </w:rPr>
        <w:t>.</w:t>
      </w:r>
      <w:r w:rsidR="00AE7709" w:rsidRPr="00E02F6F">
        <w:rPr>
          <w:rFonts w:cs="David"/>
        </w:rPr>
        <w:t>2</w:t>
      </w:r>
      <w:r w:rsidR="007D5E26" w:rsidRPr="00E02F6F">
        <w:rPr>
          <w:rFonts w:cs="David"/>
        </w:rPr>
        <w:t>%</w:t>
      </w:r>
      <w:r w:rsidR="007D5E26" w:rsidRPr="00E02F6F">
        <w:rPr>
          <w:rFonts w:cs="David" w:hint="cs"/>
          <w:rtl/>
        </w:rPr>
        <w:t>)</w:t>
      </w:r>
      <w:r w:rsidR="007D5E26" w:rsidRPr="00E02F6F">
        <w:rPr>
          <w:rFonts w:cs="David" w:hint="cs"/>
          <w:b/>
          <w:bCs/>
          <w:rtl/>
        </w:rPr>
        <w:t xml:space="preserve">. </w:t>
      </w:r>
      <w:r w:rsidRPr="00E02F6F">
        <w:rPr>
          <w:rFonts w:cs="David" w:hint="cs"/>
          <w:rtl/>
        </w:rPr>
        <w:t xml:space="preserve"> </w:t>
      </w:r>
    </w:p>
    <w:p w:rsidR="0021655B" w:rsidRPr="00E02F6F" w:rsidRDefault="0021655B" w:rsidP="001E2150">
      <w:pPr>
        <w:bidi/>
        <w:spacing w:line="360" w:lineRule="auto"/>
        <w:jc w:val="both"/>
        <w:rPr>
          <w:rFonts w:cs="David"/>
          <w:rtl/>
        </w:rPr>
      </w:pPr>
      <w:r w:rsidRPr="00E02F6F">
        <w:rPr>
          <w:rFonts w:cs="David" w:hint="cs"/>
          <w:rtl/>
        </w:rPr>
        <w:t>בגברים ערבים נצפתה מגמת ירידה עקבית ו</w:t>
      </w:r>
      <w:r w:rsidRPr="00E02F6F">
        <w:rPr>
          <w:rFonts w:cs="David" w:hint="cs"/>
          <w:b/>
          <w:bCs/>
          <w:rtl/>
        </w:rPr>
        <w:t>מובהקת</w:t>
      </w:r>
      <w:r w:rsidR="007D5E26" w:rsidRPr="00E02F6F">
        <w:rPr>
          <w:rFonts w:cs="David" w:hint="cs"/>
          <w:b/>
          <w:bCs/>
          <w:rtl/>
        </w:rPr>
        <w:t xml:space="preserve"> </w:t>
      </w:r>
      <w:r w:rsidR="007D5E26" w:rsidRPr="00E02F6F">
        <w:rPr>
          <w:rFonts w:cs="David" w:hint="cs"/>
          <w:rtl/>
        </w:rPr>
        <w:t>(</w:t>
      </w:r>
      <w:r w:rsidR="007D5E26" w:rsidRPr="00E02F6F">
        <w:rPr>
          <w:rFonts w:cs="David"/>
        </w:rPr>
        <w:t>APC=-1.</w:t>
      </w:r>
      <w:r w:rsidR="00AE7709" w:rsidRPr="00E02F6F">
        <w:rPr>
          <w:rFonts w:cs="David"/>
        </w:rPr>
        <w:t>8</w:t>
      </w:r>
      <w:r w:rsidR="007D5E26" w:rsidRPr="00E02F6F">
        <w:rPr>
          <w:rFonts w:cs="David"/>
        </w:rPr>
        <w:t>%</w:t>
      </w:r>
      <w:r w:rsidR="007D5E26" w:rsidRPr="00E02F6F">
        <w:rPr>
          <w:rFonts w:cs="David" w:hint="cs"/>
          <w:rtl/>
        </w:rPr>
        <w:t>)</w:t>
      </w:r>
      <w:r w:rsidR="007D5E26" w:rsidRPr="00E02F6F">
        <w:rPr>
          <w:rFonts w:cs="David" w:hint="cs"/>
          <w:b/>
          <w:bCs/>
          <w:rtl/>
        </w:rPr>
        <w:t xml:space="preserve"> </w:t>
      </w:r>
      <w:r w:rsidRPr="00E02F6F">
        <w:rPr>
          <w:rFonts w:cs="David" w:hint="cs"/>
          <w:rtl/>
        </w:rPr>
        <w:t xml:space="preserve">בשיעורי התמותה מסרטן הערמונית </w:t>
      </w:r>
      <w:r w:rsidR="007D5E26" w:rsidRPr="00E02F6F">
        <w:rPr>
          <w:rFonts w:cs="David" w:hint="cs"/>
          <w:rtl/>
        </w:rPr>
        <w:t xml:space="preserve">לאורך </w:t>
      </w:r>
      <w:r w:rsidR="001E2150">
        <w:rPr>
          <w:rFonts w:cs="David" w:hint="cs"/>
          <w:rtl/>
        </w:rPr>
        <w:t xml:space="preserve">כל </w:t>
      </w:r>
      <w:r w:rsidR="007D5E26" w:rsidRPr="00E02F6F">
        <w:rPr>
          <w:rFonts w:cs="David" w:hint="cs"/>
          <w:rtl/>
        </w:rPr>
        <w:t>התקופה שבין 1990-</w:t>
      </w:r>
      <w:r w:rsidR="00AE7709" w:rsidRPr="00E02F6F">
        <w:rPr>
          <w:rFonts w:cs="David" w:hint="cs"/>
          <w:rtl/>
        </w:rPr>
        <w:t>2015</w:t>
      </w:r>
      <w:r w:rsidR="00846187" w:rsidRPr="00E02F6F">
        <w:rPr>
          <w:rFonts w:cs="David" w:hint="cs"/>
          <w:rtl/>
        </w:rPr>
        <w:t>. בגברים אחרים, נצפתה מגמת עלייה עקבית ו</w:t>
      </w:r>
      <w:r w:rsidR="00846187" w:rsidRPr="00E02F6F">
        <w:rPr>
          <w:rFonts w:cs="David" w:hint="cs"/>
          <w:b/>
          <w:bCs/>
          <w:rtl/>
        </w:rPr>
        <w:t>מובהקת</w:t>
      </w:r>
      <w:r w:rsidR="00846187" w:rsidRPr="00E02F6F">
        <w:rPr>
          <w:rFonts w:cs="David" w:hint="cs"/>
          <w:rtl/>
        </w:rPr>
        <w:t xml:space="preserve"> (2.7%)  בין השנים 1996-2015</w:t>
      </w:r>
      <w:r w:rsidRPr="00E02F6F">
        <w:rPr>
          <w:rFonts w:cs="David" w:hint="cs"/>
          <w:rtl/>
        </w:rPr>
        <w:t xml:space="preserve"> </w:t>
      </w:r>
      <w:r w:rsidR="001E2150" w:rsidRPr="00E02F6F">
        <w:rPr>
          <w:rFonts w:cs="David" w:hint="cs"/>
          <w:rtl/>
        </w:rPr>
        <w:t>(תרשים 3)</w:t>
      </w:r>
      <w:r w:rsidR="001E2150">
        <w:rPr>
          <w:rFonts w:cs="David" w:hint="cs"/>
          <w:rtl/>
        </w:rPr>
        <w:t>.</w:t>
      </w:r>
    </w:p>
    <w:p w:rsidR="00AE7709" w:rsidRPr="00E02F6F" w:rsidRDefault="00AE7709">
      <w:pPr>
        <w:widowControl/>
        <w:suppressAutoHyphens w:val="0"/>
        <w:rPr>
          <w:rFonts w:cs="David"/>
        </w:rPr>
      </w:pPr>
      <w:r w:rsidRPr="00E02F6F">
        <w:rPr>
          <w:rFonts w:cs="David"/>
          <w:rtl/>
        </w:rPr>
        <w:br w:type="page"/>
      </w:r>
    </w:p>
    <w:p w:rsidR="003C2219" w:rsidRPr="00B7317E" w:rsidRDefault="003C61CA" w:rsidP="001E2150">
      <w:pPr>
        <w:bidi/>
        <w:spacing w:line="360" w:lineRule="auto"/>
        <w:jc w:val="both"/>
        <w:rPr>
          <w:rFonts w:cs="David"/>
          <w:highlight w:val="green"/>
          <w:rtl/>
        </w:rPr>
      </w:pPr>
      <w:r w:rsidRPr="00D23220">
        <w:rPr>
          <w:rFonts w:cs="David" w:hint="cs"/>
          <w:sz w:val="18"/>
          <w:szCs w:val="18"/>
          <w:rtl/>
        </w:rPr>
        <w:lastRenderedPageBreak/>
        <w:t xml:space="preserve">תרשים 3: </w:t>
      </w:r>
      <w:r w:rsidRPr="00D23220">
        <w:rPr>
          <w:rFonts w:cs="David" w:hint="cs"/>
          <w:b/>
          <w:bCs/>
          <w:sz w:val="18"/>
          <w:szCs w:val="18"/>
          <w:rtl/>
        </w:rPr>
        <w:t>מגמות בתמותה מסרטן חודרני של הערמונית לפי קבוצת אוכלוסייה, 1990-20</w:t>
      </w:r>
      <w:r w:rsidR="00555275" w:rsidRPr="00D23220">
        <w:rPr>
          <w:rFonts w:cs="David" w:hint="cs"/>
          <w:b/>
          <w:bCs/>
          <w:sz w:val="18"/>
          <w:szCs w:val="18"/>
          <w:rtl/>
        </w:rPr>
        <w:t>15</w:t>
      </w:r>
      <w:r w:rsidR="00433C96" w:rsidRPr="00D23220">
        <w:rPr>
          <w:rFonts w:cs="David" w:hint="cs"/>
          <w:b/>
          <w:bCs/>
          <w:sz w:val="18"/>
          <w:szCs w:val="18"/>
          <w:rtl/>
        </w:rPr>
        <w:t xml:space="preserve"> </w:t>
      </w:r>
      <w:r w:rsidR="00433C96" w:rsidRPr="00D23220">
        <w:rPr>
          <w:rFonts w:cs="David"/>
          <w:color w:val="1F497D" w:themeColor="text2"/>
          <w:sz w:val="18"/>
          <w:szCs w:val="18"/>
        </w:rPr>
        <w:t>(Jointpoint)</w:t>
      </w:r>
    </w:p>
    <w:p w:rsidR="00AD6D3C" w:rsidRDefault="00A323AD" w:rsidP="007D5E26">
      <w:pPr>
        <w:bidi/>
        <w:spacing w:line="360" w:lineRule="auto"/>
        <w:jc w:val="both"/>
        <w:rPr>
          <w:rFonts w:cs="David"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61922D4F" wp14:editId="646A034C">
            <wp:extent cx="5274310" cy="3448685"/>
            <wp:effectExtent l="0" t="0" r="21590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0EFA" w:rsidRDefault="00350EFA" w:rsidP="00350EFA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787BCA" w:rsidRPr="00B83907" w:rsidRDefault="0021655B" w:rsidP="00B83907">
      <w:pPr>
        <w:bidi/>
        <w:spacing w:line="360" w:lineRule="auto"/>
        <w:jc w:val="both"/>
        <w:rPr>
          <w:rFonts w:cs="David"/>
          <w:rtl/>
        </w:rPr>
      </w:pPr>
      <w:r w:rsidRPr="00B83907">
        <w:rPr>
          <w:rFonts w:cs="David" w:hint="cs"/>
          <w:rtl/>
        </w:rPr>
        <w:t>בשנת 201</w:t>
      </w:r>
      <w:r w:rsidR="00555275" w:rsidRPr="00B83907">
        <w:rPr>
          <w:rFonts w:cs="David" w:hint="cs"/>
          <w:rtl/>
        </w:rPr>
        <w:t>5</w:t>
      </w:r>
      <w:r w:rsidRPr="00B83907">
        <w:rPr>
          <w:rFonts w:cs="David" w:hint="cs"/>
          <w:rtl/>
        </w:rPr>
        <w:t xml:space="preserve"> היה </w:t>
      </w:r>
      <w:r w:rsidR="00787BCA" w:rsidRPr="00B83907">
        <w:rPr>
          <w:rFonts w:cs="David" w:hint="cs"/>
          <w:rtl/>
        </w:rPr>
        <w:t>שיעור ה</w:t>
      </w:r>
      <w:r w:rsidRPr="00B83907">
        <w:rPr>
          <w:rFonts w:cs="David" w:hint="cs"/>
          <w:rtl/>
        </w:rPr>
        <w:t>תמותה</w:t>
      </w:r>
      <w:r w:rsidR="00787BCA" w:rsidRPr="00B83907">
        <w:rPr>
          <w:rFonts w:cs="David" w:hint="cs"/>
          <w:rtl/>
        </w:rPr>
        <w:t xml:space="preserve"> הסגולי לגיל </w:t>
      </w:r>
      <w:r w:rsidRPr="00B83907">
        <w:rPr>
          <w:rFonts w:cs="David" w:hint="cs"/>
          <w:rtl/>
        </w:rPr>
        <w:t>גבוה יותר ביהודים</w:t>
      </w:r>
      <w:r w:rsidR="00AD6D3C" w:rsidRPr="00B83907">
        <w:rPr>
          <w:rFonts w:cs="David" w:hint="cs"/>
          <w:rtl/>
        </w:rPr>
        <w:t xml:space="preserve"> וב"אחרים"</w:t>
      </w:r>
      <w:r w:rsidRPr="00B83907">
        <w:rPr>
          <w:rFonts w:cs="David" w:hint="cs"/>
          <w:rtl/>
        </w:rPr>
        <w:t xml:space="preserve"> בהשוואה לערבים </w:t>
      </w:r>
      <w:r w:rsidR="00AD6D3C" w:rsidRPr="00B83907">
        <w:rPr>
          <w:rFonts w:cs="David" w:hint="cs"/>
          <w:rtl/>
        </w:rPr>
        <w:t xml:space="preserve">כמעט בכל </w:t>
      </w:r>
      <w:r w:rsidRPr="00B83907">
        <w:rPr>
          <w:rFonts w:cs="David" w:hint="cs"/>
          <w:rtl/>
        </w:rPr>
        <w:t xml:space="preserve">קבוצות הגיל, והיה </w:t>
      </w:r>
      <w:r w:rsidR="00787BCA" w:rsidRPr="00B83907">
        <w:rPr>
          <w:rFonts w:cs="David" w:hint="cs"/>
          <w:rtl/>
        </w:rPr>
        <w:t xml:space="preserve">הגבוה ביותר בקבוצת הגיל 75+, הן ביהודים </w:t>
      </w:r>
      <w:r w:rsidRPr="00B83907">
        <w:rPr>
          <w:rFonts w:cs="David" w:hint="cs"/>
          <w:rtl/>
        </w:rPr>
        <w:t>(</w:t>
      </w:r>
      <w:r w:rsidR="00AD6D3C" w:rsidRPr="00B83907">
        <w:rPr>
          <w:rFonts w:cs="David" w:hint="cs"/>
          <w:rtl/>
        </w:rPr>
        <w:t>2</w:t>
      </w:r>
      <w:r w:rsidR="00B83907" w:rsidRPr="00B83907">
        <w:rPr>
          <w:rFonts w:cs="David" w:hint="cs"/>
          <w:rtl/>
        </w:rPr>
        <w:t>12</w:t>
      </w:r>
      <w:r w:rsidR="00AD6D3C" w:rsidRPr="00B83907">
        <w:rPr>
          <w:rFonts w:cs="David" w:hint="cs"/>
          <w:rtl/>
        </w:rPr>
        <w:t>.</w:t>
      </w:r>
      <w:r w:rsidR="00B83907" w:rsidRPr="00B83907">
        <w:rPr>
          <w:rFonts w:cs="David" w:hint="cs"/>
          <w:rtl/>
        </w:rPr>
        <w:t>8</w:t>
      </w:r>
      <w:r w:rsidR="00AD6D3C" w:rsidRPr="00B83907">
        <w:rPr>
          <w:rFonts w:cs="David" w:hint="cs"/>
          <w:rtl/>
        </w:rPr>
        <w:t xml:space="preserve"> ל-100,000), </w:t>
      </w:r>
      <w:r w:rsidR="00787BCA" w:rsidRPr="00B83907">
        <w:rPr>
          <w:rFonts w:cs="David" w:hint="cs"/>
          <w:rtl/>
        </w:rPr>
        <w:t>הן בערבים</w:t>
      </w:r>
      <w:r w:rsidRPr="00B83907">
        <w:rPr>
          <w:rFonts w:cs="David" w:hint="cs"/>
          <w:rtl/>
        </w:rPr>
        <w:t xml:space="preserve"> (1</w:t>
      </w:r>
      <w:r w:rsidR="00AD6D3C" w:rsidRPr="00B83907">
        <w:rPr>
          <w:rFonts w:cs="David" w:hint="cs"/>
          <w:rtl/>
        </w:rPr>
        <w:t>9</w:t>
      </w:r>
      <w:r w:rsidR="00B83907" w:rsidRPr="00B83907">
        <w:rPr>
          <w:rFonts w:cs="David" w:hint="cs"/>
          <w:rtl/>
        </w:rPr>
        <w:t>6</w:t>
      </w:r>
      <w:r w:rsidRPr="00B83907">
        <w:rPr>
          <w:rFonts w:cs="David" w:hint="cs"/>
          <w:rtl/>
        </w:rPr>
        <w:t>.</w:t>
      </w:r>
      <w:r w:rsidR="00B83907" w:rsidRPr="00B83907">
        <w:rPr>
          <w:rFonts w:cs="David" w:hint="cs"/>
          <w:rtl/>
        </w:rPr>
        <w:t>6</w:t>
      </w:r>
      <w:r w:rsidRPr="00B83907">
        <w:rPr>
          <w:rFonts w:cs="David" w:hint="cs"/>
          <w:rtl/>
        </w:rPr>
        <w:t xml:space="preserve"> ל-100,000)</w:t>
      </w:r>
      <w:r w:rsidR="00AD6D3C" w:rsidRPr="00B83907">
        <w:rPr>
          <w:rFonts w:cs="David" w:hint="cs"/>
          <w:rtl/>
        </w:rPr>
        <w:t>, והן ב"אחרים" (</w:t>
      </w:r>
      <w:r w:rsidR="00B83907" w:rsidRPr="00B83907">
        <w:rPr>
          <w:rFonts w:cs="David" w:hint="cs"/>
          <w:rtl/>
        </w:rPr>
        <w:t>311</w:t>
      </w:r>
      <w:r w:rsidR="00AD6D3C" w:rsidRPr="00B83907">
        <w:rPr>
          <w:rFonts w:cs="David" w:hint="cs"/>
          <w:rtl/>
        </w:rPr>
        <w:t>.</w:t>
      </w:r>
      <w:r w:rsidR="00B83907" w:rsidRPr="00B83907">
        <w:rPr>
          <w:rFonts w:cs="David" w:hint="cs"/>
          <w:rtl/>
        </w:rPr>
        <w:t>1</w:t>
      </w:r>
      <w:r w:rsidR="00AD6D3C" w:rsidRPr="00B83907">
        <w:rPr>
          <w:rFonts w:cs="David" w:hint="cs"/>
          <w:rtl/>
        </w:rPr>
        <w:t xml:space="preserve"> ל-100,000)</w:t>
      </w:r>
      <w:r w:rsidRPr="00B83907">
        <w:rPr>
          <w:rFonts w:cs="David" w:hint="cs"/>
          <w:rtl/>
        </w:rPr>
        <w:t xml:space="preserve"> </w:t>
      </w:r>
      <w:r w:rsidR="00787BCA" w:rsidRPr="00B83907">
        <w:rPr>
          <w:rFonts w:cs="David" w:hint="cs"/>
          <w:rtl/>
        </w:rPr>
        <w:t>(תרשים 4).</w:t>
      </w:r>
    </w:p>
    <w:p w:rsidR="00E02F6F" w:rsidRPr="00B83907" w:rsidRDefault="00E02F6F" w:rsidP="00555275">
      <w:pPr>
        <w:bidi/>
        <w:spacing w:line="360" w:lineRule="auto"/>
        <w:jc w:val="both"/>
        <w:rPr>
          <w:rFonts w:cs="David"/>
          <w:sz w:val="18"/>
          <w:szCs w:val="18"/>
          <w:rtl/>
        </w:rPr>
      </w:pPr>
    </w:p>
    <w:p w:rsidR="00EF5B57" w:rsidRDefault="00EF5B57" w:rsidP="00E02F6F">
      <w:pPr>
        <w:bidi/>
        <w:spacing w:line="360" w:lineRule="auto"/>
        <w:jc w:val="both"/>
        <w:rPr>
          <w:rFonts w:cs="David"/>
          <w:b/>
          <w:bCs/>
          <w:sz w:val="18"/>
          <w:szCs w:val="18"/>
          <w:rtl/>
        </w:rPr>
      </w:pPr>
      <w:r w:rsidRPr="00B83907">
        <w:rPr>
          <w:rFonts w:cs="David" w:hint="cs"/>
          <w:sz w:val="18"/>
          <w:szCs w:val="18"/>
          <w:rtl/>
        </w:rPr>
        <w:t xml:space="preserve">תרשים 4: </w:t>
      </w:r>
      <w:r w:rsidRPr="00B83907">
        <w:rPr>
          <w:rFonts w:cs="David" w:hint="cs"/>
          <w:b/>
          <w:bCs/>
          <w:sz w:val="18"/>
          <w:szCs w:val="18"/>
          <w:rtl/>
        </w:rPr>
        <w:t xml:space="preserve">שיעור תמותה </w:t>
      </w:r>
      <w:r w:rsidR="00AD6D3C" w:rsidRPr="00B83907">
        <w:rPr>
          <w:rFonts w:cs="David" w:hint="cs"/>
          <w:b/>
          <w:bCs/>
          <w:sz w:val="18"/>
          <w:szCs w:val="18"/>
          <w:rtl/>
        </w:rPr>
        <w:t xml:space="preserve">סגולי לגיל (ל-100,000) </w:t>
      </w:r>
      <w:r w:rsidRPr="00B83907">
        <w:rPr>
          <w:rFonts w:cs="David" w:hint="cs"/>
          <w:b/>
          <w:bCs/>
          <w:sz w:val="18"/>
          <w:szCs w:val="18"/>
          <w:rtl/>
        </w:rPr>
        <w:t>מסרטן הערמונית בישראל, 201</w:t>
      </w:r>
      <w:r w:rsidR="00555275" w:rsidRPr="00B83907">
        <w:rPr>
          <w:rFonts w:cs="David" w:hint="cs"/>
          <w:b/>
          <w:bCs/>
          <w:sz w:val="18"/>
          <w:szCs w:val="18"/>
          <w:rtl/>
        </w:rPr>
        <w:t>5</w:t>
      </w:r>
      <w:r w:rsidRPr="00B83907">
        <w:rPr>
          <w:rFonts w:cs="David" w:hint="cs"/>
          <w:b/>
          <w:bCs/>
          <w:sz w:val="18"/>
          <w:szCs w:val="18"/>
          <w:rtl/>
        </w:rPr>
        <w:t>, לפי קבוצת אוכלוסי</w:t>
      </w:r>
      <w:r w:rsidR="00787BCA" w:rsidRPr="00B83907">
        <w:rPr>
          <w:rFonts w:cs="David" w:hint="cs"/>
          <w:b/>
          <w:bCs/>
          <w:sz w:val="18"/>
          <w:szCs w:val="18"/>
          <w:rtl/>
        </w:rPr>
        <w:t>י</w:t>
      </w:r>
      <w:r w:rsidRPr="00B83907">
        <w:rPr>
          <w:rFonts w:cs="David" w:hint="cs"/>
          <w:b/>
          <w:bCs/>
          <w:sz w:val="18"/>
          <w:szCs w:val="18"/>
          <w:rtl/>
        </w:rPr>
        <w:t>ה</w:t>
      </w:r>
    </w:p>
    <w:p w:rsidR="00EF5B57" w:rsidRDefault="00B83907" w:rsidP="00EF5B57">
      <w:pPr>
        <w:bidi/>
        <w:spacing w:line="360" w:lineRule="auto"/>
        <w:jc w:val="both"/>
        <w:rPr>
          <w:rFonts w:cs="David"/>
          <w:b/>
          <w:bCs/>
          <w:color w:val="0000FF"/>
          <w:kern w:val="28"/>
          <w:sz w:val="28"/>
          <w:szCs w:val="28"/>
          <w:rtl/>
        </w:rPr>
      </w:pPr>
      <w:r>
        <w:rPr>
          <w:noProof/>
          <w:lang w:eastAsia="en-US"/>
        </w:rPr>
        <w:drawing>
          <wp:inline distT="0" distB="0" distL="0" distR="0" wp14:anchorId="5C35BB07" wp14:editId="2F4C62D3">
            <wp:extent cx="5274310" cy="3406936"/>
            <wp:effectExtent l="0" t="0" r="21590" b="22225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6D3C" w:rsidRDefault="00AD6D3C" w:rsidP="00AD6D3C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AD6D3C" w:rsidRPr="00E02F6F" w:rsidRDefault="00AD6D3C" w:rsidP="00B83907">
      <w:pPr>
        <w:bidi/>
        <w:spacing w:line="360" w:lineRule="auto"/>
        <w:jc w:val="both"/>
        <w:rPr>
          <w:rFonts w:cs="David"/>
          <w:rtl/>
        </w:rPr>
      </w:pPr>
      <w:r w:rsidRPr="00B83907">
        <w:rPr>
          <w:rFonts w:cs="David" w:hint="cs"/>
          <w:rtl/>
        </w:rPr>
        <w:lastRenderedPageBreak/>
        <w:t>עיקר התמותה מסרטן הערמונית בשנת 201</w:t>
      </w:r>
      <w:r w:rsidR="00555275" w:rsidRPr="00B83907">
        <w:rPr>
          <w:rFonts w:cs="David" w:hint="cs"/>
          <w:rtl/>
        </w:rPr>
        <w:t>5</w:t>
      </w:r>
      <w:r w:rsidRPr="00B83907">
        <w:rPr>
          <w:rFonts w:cs="David" w:hint="cs"/>
          <w:rtl/>
        </w:rPr>
        <w:t xml:space="preserve"> חלה בגיל המבוגר: 7</w:t>
      </w:r>
      <w:r w:rsidR="00B83907" w:rsidRPr="00B83907">
        <w:rPr>
          <w:rFonts w:cs="David" w:hint="cs"/>
          <w:rtl/>
        </w:rPr>
        <w:t>9</w:t>
      </w:r>
      <w:r w:rsidRPr="00B83907">
        <w:rPr>
          <w:rFonts w:cs="David" w:hint="cs"/>
          <w:rtl/>
        </w:rPr>
        <w:t>.</w:t>
      </w:r>
      <w:r w:rsidR="00B83907" w:rsidRPr="00B83907">
        <w:rPr>
          <w:rFonts w:cs="David" w:hint="cs"/>
          <w:rtl/>
        </w:rPr>
        <w:t>7</w:t>
      </w:r>
      <w:r w:rsidRPr="00B83907">
        <w:rPr>
          <w:rFonts w:cs="David" w:hint="cs"/>
          <w:rtl/>
        </w:rPr>
        <w:t>% מכלל הנפטרים מסרטן חודרני של הערמונית ביהודים היו בני 75 ומעלה בעת הפטירה, בקרב</w:t>
      </w:r>
      <w:r w:rsidR="00B83907" w:rsidRPr="00B83907">
        <w:rPr>
          <w:rFonts w:cs="David" w:hint="cs"/>
          <w:rtl/>
        </w:rPr>
        <w:t xml:space="preserve"> ערבים ו</w:t>
      </w:r>
      <w:r w:rsidRPr="00B83907">
        <w:rPr>
          <w:rFonts w:cs="David" w:hint="cs"/>
          <w:rtl/>
        </w:rPr>
        <w:t>"אחרים", 6</w:t>
      </w:r>
      <w:r w:rsidR="00B83907" w:rsidRPr="00B83907">
        <w:rPr>
          <w:rFonts w:cs="David" w:hint="cs"/>
          <w:rtl/>
        </w:rPr>
        <w:t>3</w:t>
      </w:r>
      <w:r w:rsidRPr="00B83907">
        <w:rPr>
          <w:rFonts w:cs="David" w:hint="cs"/>
          <w:rtl/>
        </w:rPr>
        <w:t>.</w:t>
      </w:r>
      <w:r w:rsidR="00B83907" w:rsidRPr="00B83907">
        <w:rPr>
          <w:rFonts w:cs="David" w:hint="cs"/>
          <w:rtl/>
        </w:rPr>
        <w:t>9</w:t>
      </w:r>
      <w:r w:rsidRPr="00B83907">
        <w:rPr>
          <w:rFonts w:cs="David" w:hint="cs"/>
          <w:rtl/>
        </w:rPr>
        <w:t xml:space="preserve">% </w:t>
      </w:r>
      <w:r w:rsidR="00B83907" w:rsidRPr="00B83907">
        <w:rPr>
          <w:rFonts w:cs="David" w:hint="cs"/>
          <w:rtl/>
        </w:rPr>
        <w:t xml:space="preserve">ו-63.6%, בהתאמה, </w:t>
      </w:r>
      <w:r w:rsidRPr="00B83907">
        <w:rPr>
          <w:rFonts w:cs="David" w:hint="cs"/>
          <w:rtl/>
        </w:rPr>
        <w:t>מכלל הנפטרים היו בני 7</w:t>
      </w:r>
      <w:r w:rsidR="00B83907" w:rsidRPr="00B83907">
        <w:rPr>
          <w:rFonts w:cs="David" w:hint="cs"/>
          <w:rtl/>
        </w:rPr>
        <w:t>5</w:t>
      </w:r>
      <w:r w:rsidRPr="00B83907">
        <w:rPr>
          <w:rFonts w:cs="David" w:hint="cs"/>
          <w:rtl/>
        </w:rPr>
        <w:t xml:space="preserve"> ומעלה בעת הפטירה. </w:t>
      </w:r>
      <w:r w:rsidRPr="00E02F6F">
        <w:rPr>
          <w:rFonts w:cs="David" w:hint="cs"/>
          <w:rtl/>
        </w:rPr>
        <w:t>הגיל הממוצע במי שנפטרו מסרטן חודרני של הערמונית בישראל בשנת 201</w:t>
      </w:r>
      <w:r w:rsidR="00E02F6F" w:rsidRPr="00E02F6F">
        <w:rPr>
          <w:rFonts w:cs="David" w:hint="cs"/>
          <w:rtl/>
        </w:rPr>
        <w:t>5</w:t>
      </w:r>
      <w:r w:rsidRPr="00E02F6F">
        <w:rPr>
          <w:rFonts w:cs="David" w:hint="cs"/>
          <w:rtl/>
        </w:rPr>
        <w:t xml:space="preserve"> היה</w:t>
      </w:r>
      <w:r w:rsidR="00E02F6F">
        <w:rPr>
          <w:rFonts w:cs="David" w:hint="cs"/>
          <w:rtl/>
        </w:rPr>
        <w:t xml:space="preserve"> 81.3 שנים: </w:t>
      </w:r>
      <w:r w:rsidRPr="00E02F6F">
        <w:rPr>
          <w:rFonts w:cs="David" w:hint="cs"/>
          <w:rtl/>
        </w:rPr>
        <w:t>8</w:t>
      </w:r>
      <w:r w:rsidR="00E02F6F" w:rsidRPr="00E02F6F">
        <w:rPr>
          <w:rFonts w:cs="David" w:hint="cs"/>
          <w:rtl/>
        </w:rPr>
        <w:t>1</w:t>
      </w:r>
      <w:r w:rsidRPr="00E02F6F">
        <w:rPr>
          <w:rFonts w:cs="David" w:hint="cs"/>
          <w:rtl/>
        </w:rPr>
        <w:t>.</w:t>
      </w:r>
      <w:r w:rsidR="00E02F6F" w:rsidRPr="00E02F6F">
        <w:rPr>
          <w:rFonts w:cs="David" w:hint="cs"/>
          <w:rtl/>
        </w:rPr>
        <w:t>9</w:t>
      </w:r>
      <w:r w:rsidRPr="00E02F6F">
        <w:rPr>
          <w:rFonts w:cs="David" w:hint="cs"/>
          <w:rtl/>
        </w:rPr>
        <w:t xml:space="preserve"> ביהודים, 7</w:t>
      </w:r>
      <w:r w:rsidR="00E02F6F" w:rsidRPr="00E02F6F">
        <w:rPr>
          <w:rFonts w:cs="David" w:hint="cs"/>
          <w:rtl/>
        </w:rPr>
        <w:t>7</w:t>
      </w:r>
      <w:r w:rsidRPr="00E02F6F">
        <w:rPr>
          <w:rFonts w:cs="David" w:hint="cs"/>
          <w:rtl/>
        </w:rPr>
        <w:t>.5 בערבים ו-7</w:t>
      </w:r>
      <w:r w:rsidR="00E02F6F" w:rsidRPr="00E02F6F">
        <w:rPr>
          <w:rFonts w:cs="David" w:hint="cs"/>
          <w:rtl/>
        </w:rPr>
        <w:t>6</w:t>
      </w:r>
      <w:r w:rsidRPr="00E02F6F">
        <w:rPr>
          <w:rFonts w:cs="David" w:hint="cs"/>
          <w:rtl/>
        </w:rPr>
        <w:t>.</w:t>
      </w:r>
      <w:r w:rsidR="00E02F6F" w:rsidRPr="00E02F6F">
        <w:rPr>
          <w:rFonts w:cs="David" w:hint="cs"/>
          <w:rtl/>
        </w:rPr>
        <w:t>6</w:t>
      </w:r>
      <w:r w:rsidRPr="00E02F6F">
        <w:rPr>
          <w:rFonts w:cs="David" w:hint="cs"/>
          <w:rtl/>
        </w:rPr>
        <w:t xml:space="preserve"> ב"אחרים". </w:t>
      </w:r>
    </w:p>
    <w:p w:rsidR="00B93852" w:rsidRPr="00E02F6F" w:rsidRDefault="00B93852" w:rsidP="00151D79">
      <w:pPr>
        <w:bidi/>
        <w:spacing w:line="360" w:lineRule="auto"/>
        <w:jc w:val="both"/>
        <w:rPr>
          <w:rFonts w:cs="David"/>
          <w:b/>
          <w:bCs/>
          <w:color w:val="0000FF"/>
          <w:kern w:val="28"/>
          <w:rtl/>
        </w:rPr>
      </w:pPr>
    </w:p>
    <w:p w:rsidR="001B19BD" w:rsidRPr="002777CC" w:rsidRDefault="00B93852" w:rsidP="00B93852">
      <w:pPr>
        <w:bidi/>
        <w:spacing w:line="360" w:lineRule="auto"/>
        <w:jc w:val="both"/>
        <w:rPr>
          <w:rFonts w:cs="David"/>
          <w:b/>
          <w:bCs/>
          <w:color w:val="0000FF"/>
          <w:kern w:val="28"/>
          <w:sz w:val="28"/>
          <w:szCs w:val="28"/>
          <w:rtl/>
        </w:rPr>
      </w:pPr>
      <w:r w:rsidRPr="002777CC">
        <w:rPr>
          <w:rFonts w:cs="David" w:hint="cs"/>
          <w:b/>
          <w:bCs/>
          <w:color w:val="0000FF"/>
          <w:kern w:val="28"/>
          <w:sz w:val="28"/>
          <w:szCs w:val="28"/>
        </w:rPr>
        <w:sym w:font="Wingdings 3" w:char="F074"/>
      </w:r>
      <w:r w:rsidR="001B19BD" w:rsidRPr="002C5918">
        <w:rPr>
          <w:rFonts w:cs="David" w:hint="cs"/>
          <w:b/>
          <w:bCs/>
          <w:color w:val="0000FF"/>
          <w:kern w:val="28"/>
          <w:sz w:val="28"/>
          <w:szCs w:val="28"/>
          <w:rtl/>
        </w:rPr>
        <w:t>השוואה בינלאומית</w:t>
      </w:r>
    </w:p>
    <w:p w:rsidR="004975D7" w:rsidRPr="003D4916" w:rsidRDefault="00EC2CAF" w:rsidP="004975D7">
      <w:pPr>
        <w:bidi/>
        <w:spacing w:line="360" w:lineRule="auto"/>
        <w:jc w:val="both"/>
        <w:rPr>
          <w:rFonts w:cs="David"/>
          <w:rtl/>
        </w:rPr>
      </w:pPr>
      <w:r w:rsidRPr="003D4916">
        <w:rPr>
          <w:rFonts w:cs="David" w:hint="cs"/>
          <w:rtl/>
        </w:rPr>
        <w:t xml:space="preserve">שיעורי ההיארעות </w:t>
      </w:r>
      <w:r w:rsidR="00C90BBB" w:rsidRPr="003D4916">
        <w:rPr>
          <w:rFonts w:cs="David" w:hint="cs"/>
          <w:rtl/>
        </w:rPr>
        <w:t xml:space="preserve">של </w:t>
      </w:r>
      <w:r w:rsidRPr="003D4916">
        <w:rPr>
          <w:rFonts w:cs="David" w:hint="cs"/>
          <w:rtl/>
        </w:rPr>
        <w:t xml:space="preserve">סרטן הערמונית המתוקננים לגיל בישראל הושוו לאלה של 20 המדינות עם השיעורים </w:t>
      </w:r>
      <w:r w:rsidRPr="003D4916">
        <w:rPr>
          <w:rFonts w:cs="David" w:hint="cs"/>
          <w:b/>
          <w:bCs/>
          <w:rtl/>
        </w:rPr>
        <w:t>הגבוהים ביותר</w:t>
      </w:r>
      <w:r w:rsidRPr="003D4916">
        <w:rPr>
          <w:rFonts w:cs="David" w:hint="cs"/>
          <w:rtl/>
        </w:rPr>
        <w:t xml:space="preserve"> באירופה, על פי נתוני הסוכנות הבינלאומית לחקר הסרטן </w:t>
      </w:r>
      <w:r w:rsidRPr="003D4916">
        <w:rPr>
          <w:rFonts w:cs="David"/>
        </w:rPr>
        <w:t>(IARC)</w:t>
      </w:r>
      <w:r w:rsidR="00B7317E" w:rsidRPr="003D4916">
        <w:rPr>
          <w:rFonts w:cs="David" w:hint="cs"/>
          <w:rtl/>
        </w:rPr>
        <w:t xml:space="preserve"> לשנת 20</w:t>
      </w:r>
      <w:r w:rsidR="002B1430" w:rsidRPr="003D4916">
        <w:rPr>
          <w:rFonts w:cs="David" w:hint="cs"/>
          <w:rtl/>
        </w:rPr>
        <w:t>12</w:t>
      </w:r>
      <w:r w:rsidRPr="003D4916">
        <w:rPr>
          <w:vertAlign w:val="superscript"/>
          <w:rtl/>
        </w:rPr>
        <w:footnoteReference w:id="3"/>
      </w:r>
      <w:r w:rsidR="00B93852" w:rsidRPr="003D4916">
        <w:rPr>
          <w:rFonts w:cs="David" w:hint="cs"/>
          <w:rtl/>
        </w:rPr>
        <w:t xml:space="preserve"> (לרוב נתונים מוערכים).</w:t>
      </w:r>
      <w:r w:rsidRPr="003D4916">
        <w:rPr>
          <w:rFonts w:cs="David" w:hint="cs"/>
          <w:rtl/>
        </w:rPr>
        <w:t xml:space="preserve"> </w:t>
      </w:r>
      <w:r w:rsidR="00B93852" w:rsidRPr="003D4916">
        <w:rPr>
          <w:rFonts w:cs="David" w:hint="cs"/>
          <w:rtl/>
        </w:rPr>
        <w:t>על פי נתונים אלה, שיעור ההיארעות בישראל מדורג במקום ה-11</w:t>
      </w:r>
      <w:r w:rsidR="003E0D0A" w:rsidRPr="003D4916">
        <w:rPr>
          <w:rFonts w:cs="David" w:hint="cs"/>
          <w:rtl/>
        </w:rPr>
        <w:t xml:space="preserve"> מבין 2</w:t>
      </w:r>
      <w:r w:rsidR="00B93852" w:rsidRPr="003D4916">
        <w:rPr>
          <w:rFonts w:cs="David" w:hint="cs"/>
          <w:rtl/>
        </w:rPr>
        <w:t>0</w:t>
      </w:r>
      <w:r w:rsidR="003E0D0A" w:rsidRPr="003D4916">
        <w:rPr>
          <w:rFonts w:cs="David" w:hint="cs"/>
          <w:rtl/>
        </w:rPr>
        <w:t xml:space="preserve"> המדינות המושוות </w:t>
      </w:r>
      <w:r w:rsidR="007F6B22" w:rsidRPr="003D4916">
        <w:rPr>
          <w:rFonts w:cs="David" w:hint="cs"/>
          <w:rtl/>
        </w:rPr>
        <w:t xml:space="preserve">(תרשים </w:t>
      </w:r>
      <w:r w:rsidR="00B93852" w:rsidRPr="003D4916">
        <w:rPr>
          <w:rFonts w:cs="David" w:hint="cs"/>
          <w:rtl/>
        </w:rPr>
        <w:t>5</w:t>
      </w:r>
      <w:r w:rsidR="007F6B22" w:rsidRPr="003D4916">
        <w:rPr>
          <w:rFonts w:cs="David" w:hint="cs"/>
          <w:rtl/>
        </w:rPr>
        <w:t>)</w:t>
      </w:r>
      <w:r w:rsidR="000F263D" w:rsidRPr="003D4916">
        <w:rPr>
          <w:rFonts w:cs="David" w:hint="cs"/>
          <w:rtl/>
        </w:rPr>
        <w:t xml:space="preserve">. </w:t>
      </w:r>
      <w:r w:rsidR="004975D7" w:rsidRPr="00CD0896">
        <w:rPr>
          <w:rFonts w:cs="David" w:hint="cs"/>
          <w:rtl/>
        </w:rPr>
        <w:t>בהשוואה ל-34 מדינות ה-</w:t>
      </w:r>
      <w:r w:rsidR="004975D7" w:rsidRPr="00CD0896">
        <w:rPr>
          <w:rFonts w:cs="David"/>
        </w:rPr>
        <w:t>OECD</w:t>
      </w:r>
      <w:r w:rsidR="004975D7" w:rsidRPr="00CD0896">
        <w:rPr>
          <w:rStyle w:val="a5"/>
          <w:rFonts w:cs="David"/>
          <w:rtl/>
        </w:rPr>
        <w:footnoteReference w:id="4"/>
      </w:r>
      <w:r w:rsidR="004975D7" w:rsidRPr="00CD0896">
        <w:rPr>
          <w:rFonts w:cs="David" w:hint="cs"/>
          <w:rtl/>
        </w:rPr>
        <w:t>, שיעור ההיארעות של סרטן הערמונית בגברים בישראל בשנת 2012 היה גבוה מהממוצע (ישראל דורגה במקום החמישי מעל הממוצע (תרשים 6).</w:t>
      </w:r>
    </w:p>
    <w:p w:rsidR="002C5918" w:rsidRPr="004975D7" w:rsidRDefault="002C5918" w:rsidP="00CD0896">
      <w:pPr>
        <w:bidi/>
        <w:spacing w:line="360" w:lineRule="auto"/>
        <w:jc w:val="both"/>
        <w:rPr>
          <w:rFonts w:cs="David"/>
          <w:rtl/>
        </w:rPr>
      </w:pPr>
    </w:p>
    <w:p w:rsidR="00EA773A" w:rsidRPr="001D748C" w:rsidRDefault="00EA773A" w:rsidP="00797CE2">
      <w:pPr>
        <w:bidi/>
        <w:spacing w:line="360" w:lineRule="auto"/>
        <w:jc w:val="both"/>
        <w:rPr>
          <w:rFonts w:cs="David"/>
          <w:sz w:val="18"/>
          <w:szCs w:val="18"/>
          <w:rtl/>
        </w:rPr>
      </w:pPr>
      <w:r w:rsidRPr="001D748C">
        <w:rPr>
          <w:rFonts w:cs="David" w:hint="cs"/>
          <w:sz w:val="18"/>
          <w:szCs w:val="18"/>
          <w:rtl/>
        </w:rPr>
        <w:t xml:space="preserve">תרשים </w:t>
      </w:r>
      <w:r w:rsidR="00B93852">
        <w:rPr>
          <w:rFonts w:cs="David" w:hint="cs"/>
          <w:sz w:val="18"/>
          <w:szCs w:val="18"/>
          <w:rtl/>
        </w:rPr>
        <w:t>5</w:t>
      </w:r>
      <w:r w:rsidRPr="001D748C">
        <w:rPr>
          <w:rFonts w:cs="David" w:hint="cs"/>
          <w:sz w:val="18"/>
          <w:szCs w:val="18"/>
          <w:rtl/>
        </w:rPr>
        <w:t xml:space="preserve">: </w:t>
      </w:r>
      <w:r w:rsidRPr="001D748C">
        <w:rPr>
          <w:rFonts w:cs="David" w:hint="cs"/>
          <w:b/>
          <w:bCs/>
          <w:sz w:val="18"/>
          <w:szCs w:val="18"/>
          <w:rtl/>
        </w:rPr>
        <w:t xml:space="preserve">שיעורי ההיארעות של סרטן הערמונית </w:t>
      </w:r>
      <w:r w:rsidR="007F6B22" w:rsidRPr="001D748C">
        <w:rPr>
          <w:rFonts w:cs="David" w:hint="cs"/>
          <w:b/>
          <w:bCs/>
          <w:sz w:val="18"/>
          <w:szCs w:val="18"/>
          <w:rtl/>
        </w:rPr>
        <w:t>בישראל וב</w:t>
      </w:r>
      <w:r w:rsidRPr="001D748C">
        <w:rPr>
          <w:rFonts w:cs="David" w:hint="cs"/>
          <w:b/>
          <w:bCs/>
          <w:sz w:val="18"/>
          <w:szCs w:val="18"/>
          <w:rtl/>
        </w:rPr>
        <w:t>מדינות עם השיעורים הגבוהים ביותר באירופה</w:t>
      </w:r>
      <w:r w:rsidR="007F6B22" w:rsidRPr="001D748C">
        <w:rPr>
          <w:rFonts w:cs="David" w:hint="cs"/>
          <w:b/>
          <w:bCs/>
          <w:sz w:val="18"/>
          <w:szCs w:val="18"/>
          <w:rtl/>
        </w:rPr>
        <w:t>, 2012</w:t>
      </w:r>
    </w:p>
    <w:p w:rsidR="003F5C6F" w:rsidRDefault="007F6B22" w:rsidP="003F5C6F">
      <w:pPr>
        <w:bidi/>
        <w:spacing w:line="360" w:lineRule="auto"/>
        <w:jc w:val="both"/>
        <w:rPr>
          <w:rFonts w:cs="David"/>
          <w:highlight w:val="green"/>
          <w:rtl/>
        </w:rPr>
      </w:pPr>
      <w:r>
        <w:rPr>
          <w:noProof/>
          <w:lang w:eastAsia="en-US"/>
        </w:rPr>
        <w:drawing>
          <wp:inline distT="0" distB="0" distL="0" distR="0" wp14:anchorId="38184338" wp14:editId="15D77AF6">
            <wp:extent cx="5341620" cy="3931920"/>
            <wp:effectExtent l="0" t="0" r="11430" b="1143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0896" w:rsidRDefault="00CD0896">
      <w:pPr>
        <w:widowControl/>
        <w:suppressAutoHyphens w:val="0"/>
        <w:rPr>
          <w:rFonts w:cs="David"/>
          <w:sz w:val="18"/>
          <w:szCs w:val="18"/>
        </w:rPr>
      </w:pPr>
      <w:r>
        <w:rPr>
          <w:rFonts w:cs="David"/>
          <w:sz w:val="18"/>
          <w:szCs w:val="18"/>
          <w:rtl/>
        </w:rPr>
        <w:br w:type="page"/>
      </w:r>
    </w:p>
    <w:p w:rsidR="00CD0896" w:rsidRDefault="000F263D" w:rsidP="00CD0896">
      <w:pPr>
        <w:bidi/>
        <w:spacing w:line="360" w:lineRule="auto"/>
        <w:jc w:val="both"/>
        <w:rPr>
          <w:rFonts w:cs="David"/>
          <w:b/>
          <w:bCs/>
          <w:sz w:val="18"/>
          <w:szCs w:val="18"/>
          <w:rtl/>
        </w:rPr>
      </w:pPr>
      <w:r w:rsidRPr="001D748C">
        <w:rPr>
          <w:rFonts w:cs="David" w:hint="cs"/>
          <w:sz w:val="18"/>
          <w:szCs w:val="18"/>
          <w:rtl/>
        </w:rPr>
        <w:lastRenderedPageBreak/>
        <w:t xml:space="preserve">תרשים </w:t>
      </w:r>
      <w:r>
        <w:rPr>
          <w:rFonts w:cs="David"/>
          <w:sz w:val="18"/>
          <w:szCs w:val="18"/>
        </w:rPr>
        <w:t>6</w:t>
      </w:r>
      <w:r w:rsidRPr="001D748C">
        <w:rPr>
          <w:rFonts w:cs="David" w:hint="cs"/>
          <w:sz w:val="18"/>
          <w:szCs w:val="18"/>
          <w:rtl/>
        </w:rPr>
        <w:t xml:space="preserve">: </w:t>
      </w:r>
      <w:r w:rsidRPr="001D748C">
        <w:rPr>
          <w:rFonts w:cs="David" w:hint="cs"/>
          <w:b/>
          <w:bCs/>
          <w:sz w:val="18"/>
          <w:szCs w:val="18"/>
          <w:rtl/>
        </w:rPr>
        <w:t>שיעורי ההיארעות של סרטן הערמונית בישראל וב</w:t>
      </w:r>
      <w:r>
        <w:rPr>
          <w:rFonts w:cs="David" w:hint="cs"/>
          <w:b/>
          <w:bCs/>
          <w:sz w:val="18"/>
          <w:szCs w:val="18"/>
          <w:rtl/>
        </w:rPr>
        <w:t xml:space="preserve">-34 </w:t>
      </w:r>
      <w:r w:rsidRPr="001D748C">
        <w:rPr>
          <w:rFonts w:cs="David" w:hint="cs"/>
          <w:b/>
          <w:bCs/>
          <w:sz w:val="18"/>
          <w:szCs w:val="18"/>
          <w:rtl/>
        </w:rPr>
        <w:t xml:space="preserve">מדינות </w:t>
      </w:r>
      <w:r>
        <w:rPr>
          <w:rFonts w:cs="David"/>
          <w:b/>
          <w:bCs/>
          <w:sz w:val="18"/>
          <w:szCs w:val="18"/>
        </w:rPr>
        <w:t>OECD</w:t>
      </w:r>
      <w:r w:rsidRPr="001D748C">
        <w:rPr>
          <w:rFonts w:cs="David" w:hint="cs"/>
          <w:b/>
          <w:bCs/>
          <w:sz w:val="18"/>
          <w:szCs w:val="18"/>
          <w:rtl/>
        </w:rPr>
        <w:t>,</w:t>
      </w:r>
      <w:r w:rsidRPr="000F263D">
        <w:rPr>
          <w:rFonts w:cs="David" w:hint="cs"/>
          <w:b/>
          <w:bCs/>
          <w:sz w:val="18"/>
          <w:szCs w:val="18"/>
          <w:rtl/>
        </w:rPr>
        <w:t xml:space="preserve"> 2013</w:t>
      </w:r>
    </w:p>
    <w:p w:rsidR="007F6B22" w:rsidRDefault="000F263D" w:rsidP="00CD0896">
      <w:pPr>
        <w:bidi/>
        <w:spacing w:line="360" w:lineRule="auto"/>
        <w:jc w:val="both"/>
        <w:rPr>
          <w:rFonts w:cs="David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6F92DAF1" wp14:editId="6FE636F3">
            <wp:extent cx="5006340" cy="3970020"/>
            <wp:effectExtent l="0" t="0" r="381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0BBB" w:rsidRPr="00CD0896" w:rsidRDefault="00C90BBB" w:rsidP="00C90BBB">
      <w:pPr>
        <w:bidi/>
        <w:spacing w:line="360" w:lineRule="auto"/>
        <w:jc w:val="both"/>
        <w:rPr>
          <w:rFonts w:cs="David"/>
          <w:rtl/>
        </w:rPr>
      </w:pPr>
      <w:r w:rsidRPr="00CD0896">
        <w:rPr>
          <w:rFonts w:cs="David" w:hint="cs"/>
          <w:rtl/>
        </w:rPr>
        <w:t>על פי נתוני ה-</w:t>
      </w:r>
      <w:r w:rsidRPr="00CD0896">
        <w:rPr>
          <w:rFonts w:cs="David"/>
        </w:rPr>
        <w:t>OECD</w:t>
      </w:r>
      <w:r w:rsidRPr="00CD0896">
        <w:rPr>
          <w:rFonts w:cs="David" w:hint="cs"/>
          <w:rtl/>
        </w:rPr>
        <w:t xml:space="preserve"> לשנת 2013, סרטן הערמונית היווה את סיבת המוות השלישית בשכיחותה מכלל התמותה מסרטן (9.2%), אחרי סרטן הריאה (25.0%) וסרטן המעי הגס והחלחולת (10.7%).</w:t>
      </w:r>
    </w:p>
    <w:p w:rsidR="00C90BBB" w:rsidRPr="00CD0896" w:rsidRDefault="00C90BBB" w:rsidP="00CD0896">
      <w:pPr>
        <w:bidi/>
        <w:spacing w:line="360" w:lineRule="auto"/>
        <w:jc w:val="both"/>
        <w:rPr>
          <w:rFonts w:cs="David"/>
          <w:rtl/>
        </w:rPr>
      </w:pPr>
      <w:r w:rsidRPr="00CD0896">
        <w:rPr>
          <w:rFonts w:cs="David" w:hint="cs"/>
          <w:rtl/>
        </w:rPr>
        <w:t>שיעור התמותה מהמחלה בישראל בהשוואה ל-20 המדינות עם השיעור הגבוה ביותר באירופה (נתוני ה-</w:t>
      </w:r>
      <w:r w:rsidRPr="00CD0896">
        <w:rPr>
          <w:rFonts w:cs="David"/>
        </w:rPr>
        <w:t>Globocan</w:t>
      </w:r>
      <w:r w:rsidRPr="00CD0896">
        <w:rPr>
          <w:rFonts w:cs="David" w:hint="cs"/>
          <w:rtl/>
        </w:rPr>
        <w:t xml:space="preserve">), היה הנמוך ביותר (תרשים 7). </w:t>
      </w:r>
    </w:p>
    <w:p w:rsidR="00C90BBB" w:rsidRDefault="00C90BBB" w:rsidP="00797CE2">
      <w:pPr>
        <w:bidi/>
        <w:spacing w:line="360" w:lineRule="auto"/>
        <w:jc w:val="both"/>
        <w:rPr>
          <w:rFonts w:cs="David"/>
          <w:sz w:val="18"/>
          <w:szCs w:val="18"/>
          <w:rtl/>
        </w:rPr>
      </w:pPr>
    </w:p>
    <w:p w:rsidR="00CD0896" w:rsidRDefault="007F6B22" w:rsidP="00CD0896">
      <w:pPr>
        <w:bidi/>
        <w:spacing w:line="360" w:lineRule="auto"/>
        <w:jc w:val="both"/>
        <w:rPr>
          <w:rFonts w:cs="David"/>
          <w:b/>
          <w:bCs/>
          <w:sz w:val="18"/>
          <w:szCs w:val="18"/>
        </w:rPr>
      </w:pPr>
      <w:r w:rsidRPr="001D748C">
        <w:rPr>
          <w:rFonts w:cs="David" w:hint="cs"/>
          <w:sz w:val="18"/>
          <w:szCs w:val="18"/>
          <w:rtl/>
        </w:rPr>
        <w:t xml:space="preserve">תרשים </w:t>
      </w:r>
      <w:r w:rsidR="000F263D">
        <w:rPr>
          <w:rFonts w:cs="David" w:hint="cs"/>
          <w:sz w:val="18"/>
          <w:szCs w:val="18"/>
          <w:rtl/>
        </w:rPr>
        <w:t>7</w:t>
      </w:r>
      <w:r w:rsidRPr="001D748C">
        <w:rPr>
          <w:rFonts w:cs="David" w:hint="cs"/>
          <w:sz w:val="18"/>
          <w:szCs w:val="18"/>
          <w:rtl/>
        </w:rPr>
        <w:t xml:space="preserve">: </w:t>
      </w:r>
      <w:r w:rsidRPr="001D748C">
        <w:rPr>
          <w:rFonts w:cs="David" w:hint="cs"/>
          <w:b/>
          <w:bCs/>
          <w:sz w:val="18"/>
          <w:szCs w:val="18"/>
          <w:rtl/>
        </w:rPr>
        <w:t xml:space="preserve">שיעורי התמותה מסרטן הערמונית בישראל ובמדינות עם </w:t>
      </w:r>
      <w:r w:rsidR="00CD0896">
        <w:rPr>
          <w:rFonts w:cs="David" w:hint="cs"/>
          <w:b/>
          <w:bCs/>
          <w:sz w:val="18"/>
          <w:szCs w:val="18"/>
          <w:rtl/>
        </w:rPr>
        <w:t>השיעורים הגבוהים ביותר באירופה</w:t>
      </w:r>
    </w:p>
    <w:p w:rsidR="003F5C6F" w:rsidRDefault="007F6B22" w:rsidP="00CD0896">
      <w:pPr>
        <w:bidi/>
        <w:spacing w:line="360" w:lineRule="auto"/>
        <w:jc w:val="both"/>
        <w:rPr>
          <w:rFonts w:cs="David"/>
          <w:highlight w:val="green"/>
          <w:rtl/>
        </w:rPr>
      </w:pPr>
      <w:r>
        <w:rPr>
          <w:noProof/>
          <w:lang w:eastAsia="en-US"/>
        </w:rPr>
        <w:drawing>
          <wp:inline distT="0" distB="0" distL="0" distR="0" wp14:anchorId="7865BF32" wp14:editId="7264E4F6">
            <wp:extent cx="5196840" cy="3009900"/>
            <wp:effectExtent l="0" t="0" r="22860" b="19050"/>
            <wp:docPr id="8" name="תרשים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0896" w:rsidRDefault="00CD0896" w:rsidP="00AE27F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CD0896" w:rsidRDefault="00CD0896" w:rsidP="00CD0896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CD0896" w:rsidRDefault="00CD0896" w:rsidP="004975D7">
      <w:pPr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באשר להישרדות מסרטן הערמונית, הרישום הלאומי לסרטן בישראל משתף פעולה עם פרויקט ה-</w:t>
      </w:r>
      <w:r>
        <w:rPr>
          <w:rFonts w:cs="David"/>
        </w:rPr>
        <w:t>CONCORD</w:t>
      </w:r>
      <w:r>
        <w:rPr>
          <w:rFonts w:cs="David" w:hint="cs"/>
          <w:rtl/>
        </w:rPr>
        <w:t xml:space="preserve"> של ה</w:t>
      </w:r>
      <w:r w:rsidR="004975D7">
        <w:rPr>
          <w:rFonts w:cs="David" w:hint="cs"/>
          <w:rtl/>
        </w:rPr>
        <w:t>-</w:t>
      </w:r>
      <w:r>
        <w:rPr>
          <w:rFonts w:cs="David"/>
        </w:rPr>
        <w:t>London School of Hygiene and Tropical Medicine</w:t>
      </w:r>
      <w:r>
        <w:rPr>
          <w:rFonts w:cs="David" w:hint="cs"/>
          <w:rtl/>
        </w:rPr>
        <w:t xml:space="preserve">, שמטרתו לנטר באופן מתמשך את ההישרדות היחסית </w:t>
      </w:r>
      <w:r w:rsidR="004975D7">
        <w:rPr>
          <w:rFonts w:cs="David" w:hint="cs"/>
          <w:rtl/>
        </w:rPr>
        <w:t xml:space="preserve">מסרטן </w:t>
      </w:r>
      <w:r>
        <w:rPr>
          <w:rFonts w:cs="David" w:hint="cs"/>
          <w:rtl/>
        </w:rPr>
        <w:t>ל-5 שנים ב-71 מדינות. על פי ממצאי הסבב השלישי של פרויקט ה-</w:t>
      </w:r>
      <w:r>
        <w:rPr>
          <w:rFonts w:cs="David"/>
        </w:rPr>
        <w:t>CONCORD</w:t>
      </w:r>
      <w:r w:rsidR="00191AEA">
        <w:rPr>
          <w:rStyle w:val="a5"/>
          <w:rFonts w:cs="David"/>
          <w:rtl/>
        </w:rPr>
        <w:footnoteReference w:id="5"/>
      </w:r>
      <w:r>
        <w:rPr>
          <w:rFonts w:cs="David" w:hint="cs"/>
          <w:rtl/>
        </w:rPr>
        <w:t>, ההישרדות מסרטן הערמונית בגברים ישראלים שאובחנו בין השנים 2000-2004 הי</w:t>
      </w:r>
      <w:r w:rsidR="004975D7">
        <w:rPr>
          <w:rFonts w:cs="David" w:hint="cs"/>
          <w:rtl/>
        </w:rPr>
        <w:t>י</w:t>
      </w:r>
      <w:r>
        <w:rPr>
          <w:rFonts w:cs="David" w:hint="cs"/>
          <w:rtl/>
        </w:rPr>
        <w:t xml:space="preserve">תה 92.5% (רווח סמך </w:t>
      </w:r>
      <w:r>
        <w:rPr>
          <w:rFonts w:cs="David"/>
        </w:rPr>
        <w:t>[CI]</w:t>
      </w:r>
      <w:r>
        <w:rPr>
          <w:rFonts w:cs="David" w:hint="cs"/>
          <w:rtl/>
        </w:rPr>
        <w:t xml:space="preserve"> ברמת סמך של 95%: 91.4-93.6), ועלתה ל-95.7% בקרב חולים שאובחנו בין 2005-2009 </w:t>
      </w:r>
      <w:r w:rsidR="004975D7">
        <w:rPr>
          <w:rFonts w:cs="David"/>
        </w:rPr>
        <w:t>(95%</w:t>
      </w:r>
      <w:r>
        <w:rPr>
          <w:rFonts w:cs="David"/>
        </w:rPr>
        <w:t>CI</w:t>
      </w:r>
      <w:r w:rsidR="004975D7">
        <w:rPr>
          <w:rFonts w:cs="David"/>
        </w:rPr>
        <w:t>=94.7-96.6)</w:t>
      </w:r>
      <w:r w:rsidR="004975D7">
        <w:rPr>
          <w:rFonts w:cs="David" w:hint="cs"/>
          <w:rtl/>
        </w:rPr>
        <w:t xml:space="preserve"> הישרדות היחסית לחמש שנים במי </w:t>
      </w:r>
      <w:r>
        <w:rPr>
          <w:rFonts w:cs="David" w:hint="cs"/>
          <w:rtl/>
        </w:rPr>
        <w:t>שאובחנו בין 2010-2014</w:t>
      </w:r>
      <w:r w:rsidR="004975D7">
        <w:rPr>
          <w:rFonts w:cs="David" w:hint="cs"/>
          <w:rtl/>
        </w:rPr>
        <w:t xml:space="preserve"> הייתה דומה: </w:t>
      </w:r>
      <w:r>
        <w:rPr>
          <w:rFonts w:cs="David" w:hint="cs"/>
          <w:rtl/>
        </w:rPr>
        <w:t xml:space="preserve"> 95.</w:t>
      </w:r>
      <w:r w:rsidR="004975D7">
        <w:rPr>
          <w:rFonts w:cs="David" w:hint="cs"/>
          <w:rtl/>
        </w:rPr>
        <w:t xml:space="preserve">6% </w:t>
      </w:r>
      <w:r w:rsidR="004975D7">
        <w:rPr>
          <w:rFonts w:cs="David"/>
        </w:rPr>
        <w:t>(95%CI=95.6-96.7)</w:t>
      </w:r>
      <w:r w:rsidR="004975D7">
        <w:rPr>
          <w:rFonts w:cs="David" w:hint="cs"/>
          <w:rtl/>
        </w:rPr>
        <w:t xml:space="preserve">. </w:t>
      </w:r>
    </w:p>
    <w:p w:rsidR="00C90BBB" w:rsidRDefault="00C90BBB" w:rsidP="00C90BBB">
      <w:pPr>
        <w:bidi/>
        <w:spacing w:line="360" w:lineRule="auto"/>
        <w:jc w:val="both"/>
        <w:rPr>
          <w:rFonts w:cs="David"/>
          <w:b/>
          <w:bCs/>
          <w:color w:val="0000FF"/>
          <w:kern w:val="28"/>
          <w:sz w:val="28"/>
          <w:szCs w:val="28"/>
          <w:rtl/>
        </w:rPr>
      </w:pPr>
    </w:p>
    <w:p w:rsidR="003F5C6F" w:rsidRPr="00347067" w:rsidRDefault="007F6B22" w:rsidP="00797CE2">
      <w:pPr>
        <w:bidi/>
        <w:spacing w:line="360" w:lineRule="auto"/>
        <w:jc w:val="both"/>
        <w:rPr>
          <w:rFonts w:cs="David"/>
          <w:rtl/>
        </w:rPr>
      </w:pPr>
      <w:r w:rsidRPr="00B93852">
        <w:rPr>
          <w:rFonts w:cs="David" w:hint="cs"/>
          <w:b/>
          <w:bCs/>
          <w:color w:val="0000FF"/>
          <w:kern w:val="28"/>
          <w:sz w:val="28"/>
          <w:szCs w:val="28"/>
        </w:rPr>
        <w:sym w:font="Wingdings 3" w:char="F074"/>
      </w:r>
      <w:r w:rsidR="00797CE2">
        <w:rPr>
          <w:rFonts w:cs="David" w:hint="cs"/>
          <w:b/>
          <w:bCs/>
          <w:color w:val="0000FF"/>
          <w:kern w:val="28"/>
          <w:sz w:val="28"/>
          <w:szCs w:val="28"/>
          <w:rtl/>
        </w:rPr>
        <w:t xml:space="preserve">  </w:t>
      </w:r>
      <w:r w:rsidR="003F5C6F" w:rsidRPr="00A828A1">
        <w:rPr>
          <w:rFonts w:cs="David" w:hint="cs"/>
          <w:b/>
          <w:bCs/>
          <w:color w:val="0000FF"/>
          <w:kern w:val="28"/>
          <w:sz w:val="28"/>
          <w:szCs w:val="28"/>
          <w:rtl/>
        </w:rPr>
        <w:t>סיכום</w:t>
      </w:r>
    </w:p>
    <w:p w:rsidR="00A828A1" w:rsidRDefault="00AA27C7" w:rsidP="00A828A1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</w:rPr>
      </w:pPr>
      <w:r w:rsidRPr="004F7956">
        <w:rPr>
          <w:rFonts w:cs="David" w:hint="cs"/>
          <w:rtl/>
        </w:rPr>
        <w:t xml:space="preserve">סרטן הערמונית הוא הסרטן השכיח ביותר בגברים בישראל. </w:t>
      </w:r>
      <w:r w:rsidR="00C428ED" w:rsidRPr="004F7956">
        <w:rPr>
          <w:rFonts w:cs="David" w:hint="cs"/>
          <w:rtl/>
        </w:rPr>
        <w:t>בשנת 201</w:t>
      </w:r>
      <w:r w:rsidR="00A828A1">
        <w:rPr>
          <w:rFonts w:cs="David" w:hint="cs"/>
          <w:rtl/>
        </w:rPr>
        <w:t>5</w:t>
      </w:r>
      <w:r w:rsidR="00C428ED" w:rsidRPr="004F7956">
        <w:rPr>
          <w:rFonts w:cs="David" w:hint="cs"/>
          <w:rtl/>
        </w:rPr>
        <w:t xml:space="preserve"> חלו 2,</w:t>
      </w:r>
      <w:r w:rsidR="00A828A1">
        <w:rPr>
          <w:rFonts w:cs="David" w:hint="cs"/>
          <w:rtl/>
        </w:rPr>
        <w:t>064</w:t>
      </w:r>
      <w:r w:rsidR="00C428ED" w:rsidRPr="004F7956">
        <w:rPr>
          <w:rFonts w:cs="David" w:hint="cs"/>
          <w:rtl/>
        </w:rPr>
        <w:t xml:space="preserve"> גברים</w:t>
      </w:r>
      <w:r w:rsidR="00A828A1">
        <w:rPr>
          <w:rFonts w:cs="David" w:hint="cs"/>
          <w:rtl/>
        </w:rPr>
        <w:t xml:space="preserve"> בסרטן חודרני של הערמונית. </w:t>
      </w:r>
    </w:p>
    <w:p w:rsidR="00A45138" w:rsidRPr="004F7956" w:rsidRDefault="00A828A1" w:rsidP="00A828A1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הסיכון לסרטן הערמונית גבוה יותר בגברים יהודים ו"אחרים" בהשוואה לערבים, ועולה עם הגיל. </w:t>
      </w:r>
      <w:r w:rsidRPr="004F7956">
        <w:rPr>
          <w:rFonts w:cs="David" w:hint="cs"/>
          <w:rtl/>
        </w:rPr>
        <w:t xml:space="preserve">עיקר התחלואה </w:t>
      </w:r>
      <w:r>
        <w:rPr>
          <w:rFonts w:cs="David" w:hint="cs"/>
          <w:rtl/>
        </w:rPr>
        <w:t xml:space="preserve">בכל קבוצות האוכלוסייה </w:t>
      </w:r>
      <w:r w:rsidRPr="004F7956">
        <w:rPr>
          <w:rFonts w:cs="David" w:hint="cs"/>
          <w:rtl/>
        </w:rPr>
        <w:t>היא בבני 65 ומעלה</w:t>
      </w:r>
      <w:r>
        <w:rPr>
          <w:rFonts w:cs="David" w:hint="cs"/>
          <w:rtl/>
        </w:rPr>
        <w:t>.</w:t>
      </w:r>
    </w:p>
    <w:p w:rsidR="00021820" w:rsidRPr="004F7956" w:rsidRDefault="00021820" w:rsidP="00D4292F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מגמות ההיארעות</w:t>
      </w:r>
      <w:r w:rsidR="00A828A1">
        <w:rPr>
          <w:rFonts w:cs="David" w:hint="cs"/>
          <w:rtl/>
        </w:rPr>
        <w:t xml:space="preserve"> בשנים 1990-2015:</w:t>
      </w:r>
    </w:p>
    <w:p w:rsidR="00D4292F" w:rsidRPr="004F7956" w:rsidRDefault="00021820" w:rsidP="00A828A1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</w:rPr>
      </w:pPr>
      <w:r w:rsidRPr="004F7956">
        <w:rPr>
          <w:rFonts w:cs="David" w:hint="cs"/>
          <w:rtl/>
        </w:rPr>
        <w:t>בגברים יהודים, ב</w:t>
      </w:r>
      <w:r w:rsidR="004F4CD8" w:rsidRPr="004F7956">
        <w:rPr>
          <w:rFonts w:cs="David" w:hint="cs"/>
          <w:rtl/>
        </w:rPr>
        <w:t>שנים 1990-200</w:t>
      </w:r>
      <w:r w:rsidR="00A828A1">
        <w:rPr>
          <w:rFonts w:cs="David" w:hint="cs"/>
          <w:rtl/>
        </w:rPr>
        <w:t>8</w:t>
      </w:r>
      <w:r w:rsidR="004F4CD8" w:rsidRPr="004F7956">
        <w:rPr>
          <w:rFonts w:cs="David" w:hint="cs"/>
          <w:rtl/>
        </w:rPr>
        <w:t xml:space="preserve"> </w:t>
      </w:r>
      <w:r w:rsidRPr="004F7956">
        <w:rPr>
          <w:rFonts w:cs="David" w:hint="cs"/>
          <w:rtl/>
        </w:rPr>
        <w:t>נצפתה עלייה מובהקת במגמות ההיארעות</w:t>
      </w:r>
      <w:r w:rsidR="00A828A1">
        <w:rPr>
          <w:rFonts w:cs="David" w:hint="cs"/>
          <w:rtl/>
        </w:rPr>
        <w:t xml:space="preserve"> בקצב גבוה  בשנים 1990-1994 ובקצב נמוך יותר בשנים 1994-2008. מאז 2008 נצפית ירידה מובהקת בסיכון למחלה, עם אחוז שינוי שנתי של 7%.  </w:t>
      </w:r>
    </w:p>
    <w:p w:rsidR="00D4292F" w:rsidRPr="004F7956" w:rsidRDefault="00021820" w:rsidP="00A828A1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</w:rPr>
      </w:pPr>
      <w:r w:rsidRPr="004F7956">
        <w:rPr>
          <w:rFonts w:cs="David" w:hint="cs"/>
          <w:rtl/>
        </w:rPr>
        <w:t>בגברים ערבים</w:t>
      </w:r>
      <w:r w:rsidR="00D4292F" w:rsidRPr="004F7956">
        <w:rPr>
          <w:rFonts w:cs="David" w:hint="cs"/>
          <w:rtl/>
        </w:rPr>
        <w:t>, המגמות דומות: בשנים 1990-200</w:t>
      </w:r>
      <w:r w:rsidR="004F4CD8" w:rsidRPr="004F7956">
        <w:rPr>
          <w:rFonts w:cs="David" w:hint="cs"/>
          <w:rtl/>
        </w:rPr>
        <w:t>5</w:t>
      </w:r>
      <w:r w:rsidR="00D4292F" w:rsidRPr="004F7956">
        <w:rPr>
          <w:rFonts w:cs="David" w:hint="cs"/>
          <w:rtl/>
        </w:rPr>
        <w:t xml:space="preserve"> נצפתה עלייה מובהקת בהיארעות המחלה, </w:t>
      </w:r>
      <w:r w:rsidR="00A828A1">
        <w:rPr>
          <w:rFonts w:cs="David" w:hint="cs"/>
          <w:rtl/>
        </w:rPr>
        <w:t>אולם מאז ש</w:t>
      </w:r>
      <w:r w:rsidR="00D4292F" w:rsidRPr="004F7956">
        <w:rPr>
          <w:rFonts w:cs="David" w:hint="cs"/>
          <w:rtl/>
        </w:rPr>
        <w:t>נת 200</w:t>
      </w:r>
      <w:r w:rsidR="004F4CD8" w:rsidRPr="004F7956">
        <w:rPr>
          <w:rFonts w:cs="David" w:hint="cs"/>
          <w:rtl/>
        </w:rPr>
        <w:t>5</w:t>
      </w:r>
      <w:r w:rsidR="00D4292F" w:rsidRPr="004F7956">
        <w:rPr>
          <w:rFonts w:cs="David" w:hint="cs"/>
          <w:rtl/>
        </w:rPr>
        <w:t xml:space="preserve"> נצפית ירידה מובהקת ב</w:t>
      </w:r>
      <w:r w:rsidR="00A828A1">
        <w:rPr>
          <w:rFonts w:cs="David" w:hint="cs"/>
          <w:rtl/>
        </w:rPr>
        <w:t>סיכון ל</w:t>
      </w:r>
      <w:r w:rsidR="00D4292F" w:rsidRPr="004F7956">
        <w:rPr>
          <w:rFonts w:cs="David" w:hint="cs"/>
          <w:rtl/>
        </w:rPr>
        <w:t>סרטן הערמונית</w:t>
      </w:r>
      <w:r w:rsidR="00A828A1">
        <w:rPr>
          <w:rFonts w:cs="David" w:hint="cs"/>
          <w:rtl/>
        </w:rPr>
        <w:t>, עם אחוז שינוי שנתי של 4%</w:t>
      </w:r>
      <w:r w:rsidR="00D4292F" w:rsidRPr="004F7956">
        <w:rPr>
          <w:rFonts w:cs="David" w:hint="cs"/>
          <w:rtl/>
        </w:rPr>
        <w:t xml:space="preserve">. </w:t>
      </w:r>
    </w:p>
    <w:p w:rsidR="00A45138" w:rsidRPr="004F7956" w:rsidRDefault="00D4292F" w:rsidP="0098420E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מגמות אלה תואמות לזמינות</w:t>
      </w:r>
      <w:r w:rsidR="00CA6E8F" w:rsidRPr="004F7956">
        <w:rPr>
          <w:rFonts w:cs="David" w:hint="cs"/>
          <w:rtl/>
        </w:rPr>
        <w:t xml:space="preserve">ה </w:t>
      </w:r>
      <w:r w:rsidRPr="004F7956">
        <w:rPr>
          <w:rFonts w:cs="David" w:hint="cs"/>
          <w:rtl/>
        </w:rPr>
        <w:t xml:space="preserve">של </w:t>
      </w:r>
      <w:r w:rsidR="00A45138" w:rsidRPr="004F7956">
        <w:rPr>
          <w:rFonts w:cs="David" w:hint="cs"/>
          <w:rtl/>
        </w:rPr>
        <w:t>בדיקת</w:t>
      </w:r>
      <w:r w:rsidRPr="004F7956">
        <w:rPr>
          <w:rFonts w:cs="David" w:hint="cs"/>
          <w:rtl/>
        </w:rPr>
        <w:t xml:space="preserve"> ה-</w:t>
      </w:r>
      <w:r w:rsidR="00A45138" w:rsidRPr="004F7956">
        <w:rPr>
          <w:rFonts w:cs="David"/>
        </w:rPr>
        <w:t>PSA</w:t>
      </w:r>
      <w:r w:rsidR="0098420E" w:rsidRPr="004F7956">
        <w:rPr>
          <w:rFonts w:cs="David" w:hint="cs"/>
          <w:rtl/>
        </w:rPr>
        <w:t xml:space="preserve"> </w:t>
      </w:r>
      <w:r w:rsidR="00A45138" w:rsidRPr="004F7956">
        <w:rPr>
          <w:rFonts w:cs="David" w:hint="cs"/>
          <w:rtl/>
        </w:rPr>
        <w:t>בישראל</w:t>
      </w:r>
      <w:r w:rsidRPr="004F7956">
        <w:rPr>
          <w:rFonts w:cs="David" w:hint="cs"/>
          <w:rtl/>
        </w:rPr>
        <w:t xml:space="preserve"> החל מתחילת שנות ה-90'</w:t>
      </w:r>
      <w:r w:rsidR="00A45138" w:rsidRPr="004F7956">
        <w:rPr>
          <w:rFonts w:cs="David" w:hint="cs"/>
          <w:rtl/>
        </w:rPr>
        <w:t xml:space="preserve">. ב-2002 פורסמו הנחיות חדשות, שלא להמליץ על בדיקה זו לגברים בני 75 ומעלה, וב-2008 </w:t>
      </w:r>
      <w:r w:rsidR="00D815A9" w:rsidRPr="004F7956">
        <w:rPr>
          <w:rFonts w:cs="David" w:hint="cs"/>
          <w:rtl/>
        </w:rPr>
        <w:t xml:space="preserve">עודכנו </w:t>
      </w:r>
      <w:r w:rsidR="00A45138" w:rsidRPr="004F7956">
        <w:rPr>
          <w:rFonts w:cs="David" w:hint="cs"/>
          <w:rtl/>
        </w:rPr>
        <w:t xml:space="preserve">ההמלצות </w:t>
      </w:r>
      <w:r w:rsidR="00D815A9" w:rsidRPr="004F7956">
        <w:rPr>
          <w:rFonts w:cs="David" w:hint="cs"/>
          <w:rtl/>
        </w:rPr>
        <w:t xml:space="preserve">והורו על הימנעות </w:t>
      </w:r>
      <w:r w:rsidR="00A45138" w:rsidRPr="004F7956">
        <w:rPr>
          <w:rFonts w:cs="David" w:hint="cs"/>
          <w:rtl/>
        </w:rPr>
        <w:t>משימוש בבדיקה זו כאמצעי לגילוי מוקדם ב</w:t>
      </w:r>
      <w:r w:rsidR="00D815A9" w:rsidRPr="004F7956">
        <w:rPr>
          <w:rFonts w:cs="David" w:hint="cs"/>
          <w:rtl/>
        </w:rPr>
        <w:t>כלל ה</w:t>
      </w:r>
      <w:r w:rsidR="00A45138" w:rsidRPr="004F7956">
        <w:rPr>
          <w:rFonts w:cs="David" w:hint="cs"/>
          <w:rtl/>
        </w:rPr>
        <w:t xml:space="preserve">אוכלוסייה בסיכון רגיל למחלה. </w:t>
      </w:r>
      <w:r w:rsidRPr="004F7956">
        <w:rPr>
          <w:rFonts w:cs="David" w:hint="cs"/>
          <w:rtl/>
        </w:rPr>
        <w:t xml:space="preserve">הירידה הנצפית בהיארעות המחלה בגברים בישראל בשנים האחרונות משקפת ככל הנראה </w:t>
      </w:r>
      <w:r w:rsidR="00A828A1">
        <w:rPr>
          <w:rFonts w:cs="David" w:hint="cs"/>
          <w:rtl/>
        </w:rPr>
        <w:t xml:space="preserve">גם </w:t>
      </w:r>
      <w:r w:rsidRPr="004F7956">
        <w:rPr>
          <w:rFonts w:cs="David" w:hint="cs"/>
          <w:rtl/>
        </w:rPr>
        <w:t xml:space="preserve">שינויים אלה. </w:t>
      </w:r>
    </w:p>
    <w:p w:rsidR="00DA410A" w:rsidRPr="004F7956" w:rsidRDefault="00AA27C7" w:rsidP="00A828A1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</w:rPr>
      </w:pPr>
      <w:r w:rsidRPr="004F7956">
        <w:rPr>
          <w:rFonts w:cs="David" w:hint="cs"/>
          <w:rtl/>
        </w:rPr>
        <w:t>שיעור ההישרדות מהמחלה לחמש שנים גבוה מאוד</w:t>
      </w:r>
      <w:r w:rsidR="004F4CD8" w:rsidRPr="004F7956">
        <w:rPr>
          <w:rFonts w:cs="David" w:hint="cs"/>
          <w:rtl/>
        </w:rPr>
        <w:t xml:space="preserve"> ביהודים (</w:t>
      </w:r>
      <w:r w:rsidRPr="004F7956">
        <w:rPr>
          <w:rFonts w:cs="David" w:hint="cs"/>
          <w:rtl/>
        </w:rPr>
        <w:t>מעל 9</w:t>
      </w:r>
      <w:r w:rsidR="004F4CD8" w:rsidRPr="004F7956">
        <w:rPr>
          <w:rFonts w:cs="David" w:hint="cs"/>
          <w:rtl/>
        </w:rPr>
        <w:t>5%)</w:t>
      </w:r>
      <w:r w:rsidR="00DA410A" w:rsidRPr="004F7956">
        <w:rPr>
          <w:rFonts w:cs="David" w:hint="cs"/>
          <w:rtl/>
        </w:rPr>
        <w:t xml:space="preserve">, ונוטה לעלות במי שמאובחנים בשנים מאוחרות יותר; </w:t>
      </w:r>
      <w:r w:rsidR="004F4CD8" w:rsidRPr="004F7956">
        <w:rPr>
          <w:rFonts w:cs="David" w:hint="cs"/>
          <w:rtl/>
        </w:rPr>
        <w:t>גם בערבים</w:t>
      </w:r>
      <w:r w:rsidR="00DA410A" w:rsidRPr="004F7956">
        <w:rPr>
          <w:rFonts w:cs="David" w:hint="cs"/>
          <w:rtl/>
        </w:rPr>
        <w:t xml:space="preserve"> שיעור ההישרדות גבוה (</w:t>
      </w:r>
      <w:r w:rsidR="004F4CD8" w:rsidRPr="004F7956">
        <w:rPr>
          <w:rFonts w:cs="David" w:hint="cs"/>
          <w:rtl/>
        </w:rPr>
        <w:t>86%)</w:t>
      </w:r>
      <w:r w:rsidR="00DA410A" w:rsidRPr="004F7956">
        <w:rPr>
          <w:rFonts w:cs="David" w:hint="cs"/>
          <w:rtl/>
        </w:rPr>
        <w:t xml:space="preserve"> אולם נמוך יותר מאשר ביהודים, ואין עלייה בהישרדות במי שמאובחנים בשנים מאוחרות יותר. </w:t>
      </w:r>
    </w:p>
    <w:p w:rsidR="00AA27C7" w:rsidRPr="004F7956" w:rsidRDefault="00DA410A" w:rsidP="00DA410A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  <w:rtl/>
        </w:rPr>
      </w:pPr>
      <w:r w:rsidRPr="004F7956">
        <w:rPr>
          <w:rFonts w:cs="David" w:hint="cs"/>
          <w:rtl/>
        </w:rPr>
        <w:t>ייתכן כי הבדלים אלה משקפים שיעור שונה של אבחון-יתר בשתי קבוצות האוכלוסייה.</w:t>
      </w:r>
    </w:p>
    <w:p w:rsidR="00A828A1" w:rsidRDefault="00AA27C7" w:rsidP="00A828A1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</w:rPr>
      </w:pPr>
      <w:r w:rsidRPr="004F7956">
        <w:rPr>
          <w:rFonts w:cs="David" w:hint="cs"/>
          <w:rtl/>
        </w:rPr>
        <w:t>סרטן הערמונית הוא ה</w:t>
      </w:r>
      <w:r w:rsidR="00347067" w:rsidRPr="004F7956">
        <w:rPr>
          <w:rFonts w:cs="David" w:hint="cs"/>
          <w:rtl/>
        </w:rPr>
        <w:t>רביע</w:t>
      </w:r>
      <w:r w:rsidR="00FF77FB" w:rsidRPr="004F7956">
        <w:rPr>
          <w:rFonts w:cs="David" w:hint="cs"/>
          <w:rtl/>
        </w:rPr>
        <w:t xml:space="preserve">י </w:t>
      </w:r>
      <w:r w:rsidRPr="004F7956">
        <w:rPr>
          <w:rFonts w:cs="David" w:hint="cs"/>
          <w:rtl/>
        </w:rPr>
        <w:t>בשכיחותו בישראל</w:t>
      </w:r>
      <w:r w:rsidR="00957CB2" w:rsidRPr="004F7956">
        <w:rPr>
          <w:rFonts w:cs="David" w:hint="cs"/>
          <w:rtl/>
        </w:rPr>
        <w:t xml:space="preserve"> מבחינת תמותה מסרטן</w:t>
      </w:r>
      <w:r w:rsidRPr="004F7956">
        <w:rPr>
          <w:rFonts w:cs="David" w:hint="cs"/>
          <w:rtl/>
        </w:rPr>
        <w:t xml:space="preserve">. </w:t>
      </w:r>
      <w:r w:rsidR="00DA410A" w:rsidRPr="004F7956">
        <w:rPr>
          <w:rFonts w:cs="David" w:hint="cs"/>
          <w:rtl/>
        </w:rPr>
        <w:t>בשנת 201</w:t>
      </w:r>
      <w:r w:rsidR="00A828A1">
        <w:rPr>
          <w:rFonts w:cs="David" w:hint="cs"/>
          <w:rtl/>
        </w:rPr>
        <w:t>5</w:t>
      </w:r>
      <w:r w:rsidR="00DA410A" w:rsidRPr="004F7956">
        <w:rPr>
          <w:rFonts w:cs="David" w:hint="cs"/>
          <w:rtl/>
        </w:rPr>
        <w:t xml:space="preserve"> נפטרו </w:t>
      </w:r>
      <w:r w:rsidR="00DA410A" w:rsidRPr="004F7956">
        <w:rPr>
          <w:rFonts w:cs="David" w:hint="cs"/>
          <w:rtl/>
        </w:rPr>
        <w:lastRenderedPageBreak/>
        <w:t>מהמחלה 4</w:t>
      </w:r>
      <w:r w:rsidR="00A828A1">
        <w:rPr>
          <w:rFonts w:cs="David" w:hint="cs"/>
          <w:rtl/>
        </w:rPr>
        <w:t>66</w:t>
      </w:r>
      <w:r w:rsidR="00DA410A" w:rsidRPr="004F7956">
        <w:rPr>
          <w:rFonts w:cs="David" w:hint="cs"/>
          <w:rtl/>
        </w:rPr>
        <w:t xml:space="preserve"> גברים. </w:t>
      </w:r>
    </w:p>
    <w:p w:rsidR="00D4292F" w:rsidRPr="004F7956" w:rsidRDefault="00D4292F" w:rsidP="00A828A1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</w:rPr>
      </w:pPr>
      <w:r w:rsidRPr="004F7956">
        <w:rPr>
          <w:rFonts w:cs="David" w:hint="cs"/>
          <w:rtl/>
        </w:rPr>
        <w:t xml:space="preserve">עיקר התמותה מהמחלה </w:t>
      </w:r>
      <w:r w:rsidR="00A828A1">
        <w:rPr>
          <w:rFonts w:cs="David" w:hint="cs"/>
          <w:rtl/>
        </w:rPr>
        <w:t xml:space="preserve">נצפה </w:t>
      </w:r>
      <w:r w:rsidRPr="004F7956">
        <w:rPr>
          <w:rFonts w:cs="David" w:hint="cs"/>
          <w:rtl/>
        </w:rPr>
        <w:t>בקבוצת הגיל המבוגרת (7</w:t>
      </w:r>
      <w:r w:rsidR="00DA410A" w:rsidRPr="004F7956">
        <w:rPr>
          <w:rFonts w:cs="David" w:hint="cs"/>
          <w:rtl/>
        </w:rPr>
        <w:t>5</w:t>
      </w:r>
      <w:r w:rsidR="00A828A1">
        <w:rPr>
          <w:rFonts w:cs="David" w:hint="cs"/>
          <w:rtl/>
        </w:rPr>
        <w:t xml:space="preserve"> ומעלה</w:t>
      </w:r>
      <w:r w:rsidRPr="004F7956">
        <w:rPr>
          <w:rFonts w:cs="David" w:hint="cs"/>
          <w:rtl/>
        </w:rPr>
        <w:t>).</w:t>
      </w:r>
    </w:p>
    <w:p w:rsidR="00D4292F" w:rsidRPr="004F7956" w:rsidRDefault="00D4292F" w:rsidP="00D4292F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</w:rPr>
      </w:pPr>
      <w:r w:rsidRPr="004F7956">
        <w:rPr>
          <w:rFonts w:cs="David" w:hint="cs"/>
          <w:rtl/>
        </w:rPr>
        <w:t>מגמות התמותה</w:t>
      </w:r>
      <w:r w:rsidR="00A828A1">
        <w:rPr>
          <w:rFonts w:cs="David" w:hint="cs"/>
          <w:rtl/>
        </w:rPr>
        <w:t xml:space="preserve"> מסרטן הערמונית, 1990-2015:</w:t>
      </w:r>
    </w:p>
    <w:p w:rsidR="00D4292F" w:rsidRPr="004F7956" w:rsidRDefault="00D4292F" w:rsidP="00A828A1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</w:rPr>
      </w:pPr>
      <w:r w:rsidRPr="004F7956">
        <w:rPr>
          <w:rFonts w:cs="David" w:hint="cs"/>
          <w:rtl/>
        </w:rPr>
        <w:t>בגברים יהודים נ</w:t>
      </w:r>
      <w:r w:rsidR="00A828A1">
        <w:rPr>
          <w:rFonts w:cs="David" w:hint="cs"/>
          <w:rtl/>
        </w:rPr>
        <w:t>צפתה</w:t>
      </w:r>
      <w:r w:rsidRPr="004F7956">
        <w:rPr>
          <w:rFonts w:cs="David" w:hint="cs"/>
          <w:rtl/>
        </w:rPr>
        <w:t xml:space="preserve"> עלייה מובהקת במגמת התמותה מהמחלה בשנים 199</w:t>
      </w:r>
      <w:r w:rsidR="00DA410A" w:rsidRPr="004F7956">
        <w:rPr>
          <w:rFonts w:cs="David" w:hint="cs"/>
          <w:rtl/>
        </w:rPr>
        <w:t>0</w:t>
      </w:r>
      <w:r w:rsidRPr="004F7956">
        <w:rPr>
          <w:rFonts w:cs="David" w:hint="cs"/>
          <w:rtl/>
        </w:rPr>
        <w:t>-199</w:t>
      </w:r>
      <w:r w:rsidR="00A828A1">
        <w:rPr>
          <w:rFonts w:cs="David" w:hint="cs"/>
          <w:rtl/>
        </w:rPr>
        <w:t>5</w:t>
      </w:r>
      <w:r w:rsidRPr="004F7956">
        <w:rPr>
          <w:rFonts w:cs="David" w:hint="cs"/>
          <w:rtl/>
        </w:rPr>
        <w:t>, ולאחר מכן מגמת ירידה מובהקת</w:t>
      </w:r>
      <w:r w:rsidR="00A828A1">
        <w:rPr>
          <w:rFonts w:cs="David" w:hint="cs"/>
          <w:rtl/>
        </w:rPr>
        <w:t>, עם אחוז שינוי שנתי של 3%</w:t>
      </w:r>
      <w:r w:rsidRPr="004F7956">
        <w:rPr>
          <w:rFonts w:cs="David" w:hint="cs"/>
          <w:rtl/>
        </w:rPr>
        <w:t xml:space="preserve">. </w:t>
      </w:r>
    </w:p>
    <w:p w:rsidR="00AA27C7" w:rsidRPr="004F7956" w:rsidRDefault="00D4292F" w:rsidP="004829E0">
      <w:pPr>
        <w:pStyle w:val="af1"/>
        <w:numPr>
          <w:ilvl w:val="1"/>
          <w:numId w:val="1"/>
        </w:numPr>
        <w:bidi/>
        <w:spacing w:line="360" w:lineRule="auto"/>
        <w:ind w:left="651" w:hanging="283"/>
        <w:jc w:val="both"/>
        <w:rPr>
          <w:rFonts w:cs="David"/>
          <w:rtl/>
        </w:rPr>
      </w:pPr>
      <w:r w:rsidRPr="004F7956">
        <w:rPr>
          <w:rFonts w:cs="David" w:hint="cs"/>
          <w:rtl/>
        </w:rPr>
        <w:t xml:space="preserve">בגברים ערבים </w:t>
      </w:r>
      <w:r w:rsidR="00A828A1">
        <w:rPr>
          <w:rFonts w:cs="David" w:hint="cs"/>
          <w:rtl/>
        </w:rPr>
        <w:t xml:space="preserve">נצפתה מגמת ירידה מובהקת בתמותה מסרטן הערמונית, עם אחוז שינוי שנתי של </w:t>
      </w:r>
      <w:r w:rsidR="004829E0">
        <w:rPr>
          <w:rFonts w:cs="David" w:hint="cs"/>
          <w:rtl/>
        </w:rPr>
        <w:t xml:space="preserve">קרוב ל-2% לאורך כל התקופה. </w:t>
      </w:r>
    </w:p>
    <w:p w:rsidR="00AA27C7" w:rsidRPr="004F7956" w:rsidRDefault="00AA27C7" w:rsidP="00D4292F">
      <w:pPr>
        <w:pStyle w:val="af1"/>
        <w:numPr>
          <w:ilvl w:val="0"/>
          <w:numId w:val="1"/>
        </w:numPr>
        <w:bidi/>
        <w:spacing w:line="360" w:lineRule="auto"/>
        <w:ind w:left="368"/>
        <w:jc w:val="both"/>
        <w:rPr>
          <w:rFonts w:cs="David"/>
          <w:rtl/>
        </w:rPr>
      </w:pPr>
      <w:r w:rsidRPr="004F7956">
        <w:rPr>
          <w:rFonts w:cs="David" w:hint="cs"/>
          <w:rtl/>
        </w:rPr>
        <w:t xml:space="preserve">בהשוואה בינלאומית, בעוד ששיעור ההיארעות בגברים ישראליים דומה לשיעור </w:t>
      </w:r>
      <w:r w:rsidR="00C06CAF" w:rsidRPr="004F7956">
        <w:rPr>
          <w:rFonts w:cs="David" w:hint="cs"/>
          <w:rtl/>
        </w:rPr>
        <w:t xml:space="preserve">ההיארעות </w:t>
      </w:r>
      <w:r w:rsidRPr="004F7956">
        <w:rPr>
          <w:rFonts w:cs="David" w:hint="cs"/>
          <w:rtl/>
        </w:rPr>
        <w:t>במדינות אירופה</w:t>
      </w:r>
      <w:r w:rsidR="00B8638C" w:rsidRPr="004F7956">
        <w:rPr>
          <w:rFonts w:cs="David" w:hint="cs"/>
          <w:rtl/>
        </w:rPr>
        <w:t xml:space="preserve"> בהן המחלה שכיחה, שיעור התמותה מהמחלה </w:t>
      </w:r>
      <w:r w:rsidR="00347067" w:rsidRPr="004F7956">
        <w:rPr>
          <w:rFonts w:cs="David" w:hint="cs"/>
          <w:rtl/>
        </w:rPr>
        <w:t xml:space="preserve">בישראל </w:t>
      </w:r>
      <w:r w:rsidR="00DA410A" w:rsidRPr="004F7956">
        <w:rPr>
          <w:rFonts w:cs="David" w:hint="cs"/>
          <w:rtl/>
        </w:rPr>
        <w:t xml:space="preserve">נמוך מזה המדווח במדינות אלה, ושיעור ההישרדות היחסית לחמש שנים </w:t>
      </w:r>
      <w:r w:rsidR="004829E0">
        <w:rPr>
          <w:rFonts w:cs="David" w:hint="cs"/>
          <w:rtl/>
        </w:rPr>
        <w:t>גבוה מאוד (מעל 90%) ו</w:t>
      </w:r>
      <w:r w:rsidR="00DA410A" w:rsidRPr="004F7956">
        <w:rPr>
          <w:rFonts w:cs="David" w:hint="cs"/>
          <w:rtl/>
        </w:rPr>
        <w:t>דומה לזה של מדינות מפותחות אחרות.</w:t>
      </w:r>
    </w:p>
    <w:sectPr w:rsidR="00AA27C7" w:rsidRPr="004F7956" w:rsidSect="009F0AC4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pgBorders w:offsetFrom="page">
        <w:top w:val="handmade2" w:sz="31" w:space="24" w:color="0000FF"/>
        <w:left w:val="handmade2" w:sz="31" w:space="24" w:color="0000FF"/>
        <w:bottom w:val="handmade2" w:sz="31" w:space="24" w:color="0000FF"/>
        <w:right w:val="handmade2" w:sz="31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A7" w:rsidRDefault="000425A7" w:rsidP="00A617D7">
      <w:r>
        <w:separator/>
      </w:r>
    </w:p>
  </w:endnote>
  <w:endnote w:type="continuationSeparator" w:id="0">
    <w:p w:rsidR="000425A7" w:rsidRDefault="000425A7" w:rsidP="00A6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783519"/>
      <w:docPartObj>
        <w:docPartGallery w:val="Page Numbers (Bottom of Page)"/>
        <w:docPartUnique/>
      </w:docPartObj>
    </w:sdtPr>
    <w:sdtEndPr>
      <w:rPr>
        <w:cs/>
      </w:rPr>
    </w:sdtEndPr>
    <w:sdtContent>
      <w:p w:rsidR="00021820" w:rsidRDefault="00021820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13A48" w:rsidRPr="00013A48">
          <w:rPr>
            <w:noProof/>
            <w:lang w:val="he-IL"/>
          </w:rPr>
          <w:t>1</w:t>
        </w:r>
        <w:r>
          <w:fldChar w:fldCharType="end"/>
        </w:r>
      </w:p>
    </w:sdtContent>
  </w:sdt>
  <w:p w:rsidR="004C19CB" w:rsidRDefault="004C1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A7" w:rsidRDefault="000425A7" w:rsidP="00A617D7">
      <w:r>
        <w:separator/>
      </w:r>
    </w:p>
  </w:footnote>
  <w:footnote w:type="continuationSeparator" w:id="0">
    <w:p w:rsidR="000425A7" w:rsidRDefault="000425A7" w:rsidP="00A617D7">
      <w:r>
        <w:continuationSeparator/>
      </w:r>
    </w:p>
  </w:footnote>
  <w:footnote w:id="1">
    <w:p w:rsidR="0035402C" w:rsidRDefault="0035402C" w:rsidP="0035402C">
      <w:pPr>
        <w:pStyle w:val="a3"/>
        <w:bidi/>
        <w:rPr>
          <w:rtl/>
        </w:rPr>
      </w:pPr>
      <w:r>
        <w:rPr>
          <w:rStyle w:val="a5"/>
        </w:rPr>
        <w:footnoteRef/>
      </w:r>
      <w:r>
        <w:t xml:space="preserve"> </w:t>
      </w:r>
      <w:r>
        <w:rPr>
          <w:rFonts w:hint="cs"/>
          <w:rtl/>
        </w:rPr>
        <w:t xml:space="preserve"> ד"ר ברברה סילברמן, פרופ' ליטל קינן-בוקר, גב' ריטה דיכטיאר, גב' יהודית פישלר</w:t>
      </w:r>
    </w:p>
  </w:footnote>
  <w:footnote w:id="2">
    <w:p w:rsidR="004C19CB" w:rsidRPr="00CA6E8F" w:rsidRDefault="004C19CB" w:rsidP="00C06CAF">
      <w:pPr>
        <w:pStyle w:val="a3"/>
        <w:bidi/>
        <w:rPr>
          <w:rFonts w:cs="David"/>
          <w:rtl/>
        </w:rPr>
      </w:pPr>
      <w:r>
        <w:rPr>
          <w:rStyle w:val="a5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A6E8F">
        <w:rPr>
          <w:rFonts w:cs="David" w:hint="cs"/>
          <w:rtl/>
        </w:rPr>
        <w:t xml:space="preserve">לפי אוכלוסיית התקן העולמית </w:t>
      </w:r>
    </w:p>
  </w:footnote>
  <w:footnote w:id="3">
    <w:p w:rsidR="004C19CB" w:rsidRDefault="004C19CB" w:rsidP="002B1430">
      <w:pPr>
        <w:pStyle w:val="a3"/>
      </w:pPr>
      <w:r w:rsidRPr="00CA6E8F">
        <w:rPr>
          <w:rStyle w:val="a5"/>
          <w:rFonts w:cs="David"/>
        </w:rPr>
        <w:footnoteRef/>
      </w:r>
      <w:r w:rsidRPr="00CA6E8F">
        <w:rPr>
          <w:rFonts w:cs="David"/>
        </w:rPr>
        <w:t xml:space="preserve"> Globocan 20</w:t>
      </w:r>
      <w:r w:rsidRPr="00CA6E8F">
        <w:rPr>
          <w:rFonts w:cs="David" w:hint="cs"/>
          <w:rtl/>
        </w:rPr>
        <w:t>12</w:t>
      </w:r>
    </w:p>
  </w:footnote>
  <w:footnote w:id="4">
    <w:p w:rsidR="004975D7" w:rsidRPr="000F263D" w:rsidRDefault="004975D7" w:rsidP="004975D7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OECD iLibrary: Health at a Glance 2015</w:t>
      </w:r>
    </w:p>
  </w:footnote>
  <w:footnote w:id="5">
    <w:p w:rsidR="00191AEA" w:rsidRPr="00191AEA" w:rsidRDefault="00191AEA" w:rsidP="00191AEA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Allemani C, Matsuda T, Di Carlo V, et al. Global surveillance of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trends in cancer survival 2000–14 (CONCORD-3): analysis of individual records for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37 513 025 patients diagnosed with one of 18 cancers from 322 population-based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registries in 71 countries. </w:t>
      </w:r>
      <w:r w:rsidRPr="00191AEA">
        <w:rPr>
          <w:rFonts w:asciiTheme="minorHAnsi" w:eastAsia="Calibri" w:hAnsiTheme="minorHAnsi" w:cstheme="minorHAnsi"/>
          <w:i/>
          <w:iCs/>
          <w:kern w:val="0"/>
          <w:sz w:val="20"/>
          <w:szCs w:val="20"/>
          <w:lang w:eastAsia="en-US"/>
        </w:rPr>
        <w:t xml:space="preserve">Lancet 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2018; published online Jan 30. 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h</w:t>
      </w:r>
      <w:r w:rsidRPr="00191AEA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ttp://dx.doi.org/10.1016/S0140-6736(17)33326-3.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CB" w:rsidRPr="00633859" w:rsidRDefault="004C19CB" w:rsidP="00633859">
    <w:pPr>
      <w:pStyle w:val="a8"/>
      <w:jc w:val="center"/>
    </w:pPr>
    <w:r>
      <w:rPr>
        <w:rFonts w:ascii="Arial" w:hAnsi="Arial" w:cs="Arial"/>
        <w:noProof/>
        <w:color w:val="800080"/>
        <w:lang w:val="en-US" w:eastAsia="en-US"/>
      </w:rPr>
      <w:drawing>
        <wp:inline distT="0" distB="0" distL="0" distR="0" wp14:anchorId="2F790304" wp14:editId="50756A13">
          <wp:extent cx="1866900" cy="619125"/>
          <wp:effectExtent l="0" t="0" r="0" b="9525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43732887" wp14:editId="33E6A3C7">
          <wp:extent cx="5274310" cy="5274310"/>
          <wp:effectExtent l="0" t="0" r="2540" b="2540"/>
          <wp:docPr id="11" name="תמונה 11" descr="http://blogs.nature.com/spoonful/files/2013/02/shutterstock_857018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logs.nature.com/spoonful/files/2013/02/shutterstock_857018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3225CFE0" wp14:editId="6FA4A242">
          <wp:extent cx="5274310" cy="5274310"/>
          <wp:effectExtent l="0" t="0" r="2540" b="2540"/>
          <wp:docPr id="9" name="תמונה 9" descr="http://blogs.nature.com/spoonful/files/2013/02/shutterstock_857018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logs.nature.com/spoonful/files/2013/02/shutterstock_857018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9F1AEAC" wp14:editId="67C6B727">
          <wp:extent cx="5274310" cy="5274310"/>
          <wp:effectExtent l="0" t="0" r="2540" b="2540"/>
          <wp:docPr id="10" name="תמונה 10" descr="http://blogs.nature.com/spoonful/files/2013/02/shutterstock_857018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logs.nature.com/spoonful/files/2013/02/shutterstock_857018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71F"/>
    <w:multiLevelType w:val="hybridMultilevel"/>
    <w:tmpl w:val="B66C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ברברה סילברמן">
    <w15:presenceInfo w15:providerId="AD" w15:userId="S-1-5-21-60493477-2146455087-3665346643-40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D7"/>
    <w:rsid w:val="00002B1A"/>
    <w:rsid w:val="00013A48"/>
    <w:rsid w:val="00021820"/>
    <w:rsid w:val="00033226"/>
    <w:rsid w:val="000425A7"/>
    <w:rsid w:val="0004404B"/>
    <w:rsid w:val="000477DD"/>
    <w:rsid w:val="000562FE"/>
    <w:rsid w:val="000837DE"/>
    <w:rsid w:val="00087FBE"/>
    <w:rsid w:val="00095093"/>
    <w:rsid w:val="000A1408"/>
    <w:rsid w:val="000D3964"/>
    <w:rsid w:val="000E2F85"/>
    <w:rsid w:val="000F263D"/>
    <w:rsid w:val="000F60F2"/>
    <w:rsid w:val="0011070B"/>
    <w:rsid w:val="00130105"/>
    <w:rsid w:val="00140694"/>
    <w:rsid w:val="00151D79"/>
    <w:rsid w:val="00156A63"/>
    <w:rsid w:val="00177C1C"/>
    <w:rsid w:val="00182D5E"/>
    <w:rsid w:val="00191056"/>
    <w:rsid w:val="001914C6"/>
    <w:rsid w:val="00191AEA"/>
    <w:rsid w:val="001A12FA"/>
    <w:rsid w:val="001B19BD"/>
    <w:rsid w:val="001D3030"/>
    <w:rsid w:val="001D748C"/>
    <w:rsid w:val="001E2150"/>
    <w:rsid w:val="001F5EC4"/>
    <w:rsid w:val="002025A8"/>
    <w:rsid w:val="00210066"/>
    <w:rsid w:val="0021060C"/>
    <w:rsid w:val="00212FAD"/>
    <w:rsid w:val="00215134"/>
    <w:rsid w:val="0021655B"/>
    <w:rsid w:val="002255D2"/>
    <w:rsid w:val="00250511"/>
    <w:rsid w:val="00272942"/>
    <w:rsid w:val="002777CC"/>
    <w:rsid w:val="00290BE6"/>
    <w:rsid w:val="002B1430"/>
    <w:rsid w:val="002B511F"/>
    <w:rsid w:val="002C2781"/>
    <w:rsid w:val="002C5918"/>
    <w:rsid w:val="002D07E1"/>
    <w:rsid w:val="002E0630"/>
    <w:rsid w:val="002E4373"/>
    <w:rsid w:val="002F3A68"/>
    <w:rsid w:val="002F40D1"/>
    <w:rsid w:val="00317E4D"/>
    <w:rsid w:val="00320A2B"/>
    <w:rsid w:val="00340D2C"/>
    <w:rsid w:val="00341718"/>
    <w:rsid w:val="00347067"/>
    <w:rsid w:val="00350EFA"/>
    <w:rsid w:val="0035402C"/>
    <w:rsid w:val="00362C5E"/>
    <w:rsid w:val="0039444A"/>
    <w:rsid w:val="00394589"/>
    <w:rsid w:val="003A0668"/>
    <w:rsid w:val="003C2219"/>
    <w:rsid w:val="003C2615"/>
    <w:rsid w:val="003C61CA"/>
    <w:rsid w:val="003D4916"/>
    <w:rsid w:val="003E0D0A"/>
    <w:rsid w:val="003E71BD"/>
    <w:rsid w:val="003F5C6F"/>
    <w:rsid w:val="0041030B"/>
    <w:rsid w:val="00431304"/>
    <w:rsid w:val="00433C96"/>
    <w:rsid w:val="00435B3B"/>
    <w:rsid w:val="00446162"/>
    <w:rsid w:val="0044636A"/>
    <w:rsid w:val="004545F1"/>
    <w:rsid w:val="004552ED"/>
    <w:rsid w:val="004639DC"/>
    <w:rsid w:val="00465D52"/>
    <w:rsid w:val="004814D8"/>
    <w:rsid w:val="004829E0"/>
    <w:rsid w:val="004955A4"/>
    <w:rsid w:val="00495CDF"/>
    <w:rsid w:val="004975D7"/>
    <w:rsid w:val="004A0A54"/>
    <w:rsid w:val="004C19CB"/>
    <w:rsid w:val="004C3AD7"/>
    <w:rsid w:val="004C639A"/>
    <w:rsid w:val="004D30E3"/>
    <w:rsid w:val="004D3F03"/>
    <w:rsid w:val="004D7C2F"/>
    <w:rsid w:val="004E246F"/>
    <w:rsid w:val="004E4E9B"/>
    <w:rsid w:val="004E7324"/>
    <w:rsid w:val="004F4CD8"/>
    <w:rsid w:val="004F7956"/>
    <w:rsid w:val="00520074"/>
    <w:rsid w:val="005277F8"/>
    <w:rsid w:val="00532142"/>
    <w:rsid w:val="005377AA"/>
    <w:rsid w:val="005536EE"/>
    <w:rsid w:val="00555275"/>
    <w:rsid w:val="0057010E"/>
    <w:rsid w:val="00572D97"/>
    <w:rsid w:val="00582358"/>
    <w:rsid w:val="0059194B"/>
    <w:rsid w:val="00597245"/>
    <w:rsid w:val="005B103C"/>
    <w:rsid w:val="005D3E50"/>
    <w:rsid w:val="00610F28"/>
    <w:rsid w:val="00614DBF"/>
    <w:rsid w:val="0061780A"/>
    <w:rsid w:val="00622044"/>
    <w:rsid w:val="00633859"/>
    <w:rsid w:val="006616C6"/>
    <w:rsid w:val="00665A6A"/>
    <w:rsid w:val="0068468E"/>
    <w:rsid w:val="00684CC3"/>
    <w:rsid w:val="00690EE4"/>
    <w:rsid w:val="00694476"/>
    <w:rsid w:val="006A1316"/>
    <w:rsid w:val="006A58C8"/>
    <w:rsid w:val="006B400D"/>
    <w:rsid w:val="006D07C4"/>
    <w:rsid w:val="006E053B"/>
    <w:rsid w:val="006E343B"/>
    <w:rsid w:val="006E6C73"/>
    <w:rsid w:val="006F5B2E"/>
    <w:rsid w:val="00706E26"/>
    <w:rsid w:val="00711D71"/>
    <w:rsid w:val="0071217E"/>
    <w:rsid w:val="00714F98"/>
    <w:rsid w:val="0071741D"/>
    <w:rsid w:val="00717A1E"/>
    <w:rsid w:val="0072672E"/>
    <w:rsid w:val="007326EA"/>
    <w:rsid w:val="00735977"/>
    <w:rsid w:val="00737EE7"/>
    <w:rsid w:val="0075535A"/>
    <w:rsid w:val="007855BE"/>
    <w:rsid w:val="00785F5E"/>
    <w:rsid w:val="00787BCA"/>
    <w:rsid w:val="0079190D"/>
    <w:rsid w:val="00797CE2"/>
    <w:rsid w:val="00797E6F"/>
    <w:rsid w:val="007C5DA8"/>
    <w:rsid w:val="007D5E26"/>
    <w:rsid w:val="007E726C"/>
    <w:rsid w:val="007F4CF6"/>
    <w:rsid w:val="007F6B22"/>
    <w:rsid w:val="0080752E"/>
    <w:rsid w:val="00837647"/>
    <w:rsid w:val="00843082"/>
    <w:rsid w:val="00845BE0"/>
    <w:rsid w:val="00846187"/>
    <w:rsid w:val="0087469E"/>
    <w:rsid w:val="00886190"/>
    <w:rsid w:val="008A0F88"/>
    <w:rsid w:val="008A4E1E"/>
    <w:rsid w:val="008B1AED"/>
    <w:rsid w:val="008B4B9E"/>
    <w:rsid w:val="008C1134"/>
    <w:rsid w:val="008C2492"/>
    <w:rsid w:val="008C5102"/>
    <w:rsid w:val="008D500E"/>
    <w:rsid w:val="008F2079"/>
    <w:rsid w:val="008F56F2"/>
    <w:rsid w:val="00911BE1"/>
    <w:rsid w:val="0093113C"/>
    <w:rsid w:val="00940491"/>
    <w:rsid w:val="00940E4D"/>
    <w:rsid w:val="009423D6"/>
    <w:rsid w:val="009426F5"/>
    <w:rsid w:val="00944D20"/>
    <w:rsid w:val="009504E1"/>
    <w:rsid w:val="00957B17"/>
    <w:rsid w:val="00957CB2"/>
    <w:rsid w:val="00973820"/>
    <w:rsid w:val="0098408E"/>
    <w:rsid w:val="0098420E"/>
    <w:rsid w:val="00997C52"/>
    <w:rsid w:val="009B2520"/>
    <w:rsid w:val="009B7089"/>
    <w:rsid w:val="009B77DB"/>
    <w:rsid w:val="009C5C23"/>
    <w:rsid w:val="009E4594"/>
    <w:rsid w:val="009E5C8B"/>
    <w:rsid w:val="009F0AC4"/>
    <w:rsid w:val="00A02790"/>
    <w:rsid w:val="00A03BD8"/>
    <w:rsid w:val="00A27E9E"/>
    <w:rsid w:val="00A323AD"/>
    <w:rsid w:val="00A45138"/>
    <w:rsid w:val="00A47AE2"/>
    <w:rsid w:val="00A52ED2"/>
    <w:rsid w:val="00A609F4"/>
    <w:rsid w:val="00A617D7"/>
    <w:rsid w:val="00A828A1"/>
    <w:rsid w:val="00A840D5"/>
    <w:rsid w:val="00A935EE"/>
    <w:rsid w:val="00A95C67"/>
    <w:rsid w:val="00AA27C7"/>
    <w:rsid w:val="00AB0929"/>
    <w:rsid w:val="00AD00F2"/>
    <w:rsid w:val="00AD6D3C"/>
    <w:rsid w:val="00AE27F8"/>
    <w:rsid w:val="00AE36B9"/>
    <w:rsid w:val="00AE41D2"/>
    <w:rsid w:val="00AE4B2A"/>
    <w:rsid w:val="00AE7709"/>
    <w:rsid w:val="00AF7884"/>
    <w:rsid w:val="00B13AF0"/>
    <w:rsid w:val="00B351D6"/>
    <w:rsid w:val="00B67348"/>
    <w:rsid w:val="00B71A79"/>
    <w:rsid w:val="00B71B8D"/>
    <w:rsid w:val="00B7317E"/>
    <w:rsid w:val="00B83907"/>
    <w:rsid w:val="00B83C6A"/>
    <w:rsid w:val="00B8638C"/>
    <w:rsid w:val="00B9199F"/>
    <w:rsid w:val="00B93852"/>
    <w:rsid w:val="00B95080"/>
    <w:rsid w:val="00BA7180"/>
    <w:rsid w:val="00BB73A4"/>
    <w:rsid w:val="00BC2369"/>
    <w:rsid w:val="00BC4589"/>
    <w:rsid w:val="00BD17B9"/>
    <w:rsid w:val="00BE4C3A"/>
    <w:rsid w:val="00BF23BF"/>
    <w:rsid w:val="00BF4927"/>
    <w:rsid w:val="00C0127F"/>
    <w:rsid w:val="00C06CAF"/>
    <w:rsid w:val="00C214CF"/>
    <w:rsid w:val="00C26FAE"/>
    <w:rsid w:val="00C2734C"/>
    <w:rsid w:val="00C3195B"/>
    <w:rsid w:val="00C343F5"/>
    <w:rsid w:val="00C428ED"/>
    <w:rsid w:val="00C64511"/>
    <w:rsid w:val="00C6481C"/>
    <w:rsid w:val="00C737B8"/>
    <w:rsid w:val="00C75D76"/>
    <w:rsid w:val="00C80F04"/>
    <w:rsid w:val="00C8587E"/>
    <w:rsid w:val="00C90BBB"/>
    <w:rsid w:val="00CA0983"/>
    <w:rsid w:val="00CA6E8F"/>
    <w:rsid w:val="00CB2C5E"/>
    <w:rsid w:val="00CC5DCF"/>
    <w:rsid w:val="00CD0896"/>
    <w:rsid w:val="00CF63BB"/>
    <w:rsid w:val="00D23220"/>
    <w:rsid w:val="00D31F45"/>
    <w:rsid w:val="00D3681A"/>
    <w:rsid w:val="00D42218"/>
    <w:rsid w:val="00D4292F"/>
    <w:rsid w:val="00D509E1"/>
    <w:rsid w:val="00D64DFD"/>
    <w:rsid w:val="00D815A9"/>
    <w:rsid w:val="00D913EB"/>
    <w:rsid w:val="00DA1997"/>
    <w:rsid w:val="00DA2AA4"/>
    <w:rsid w:val="00DA410A"/>
    <w:rsid w:val="00DB29E2"/>
    <w:rsid w:val="00DC39E6"/>
    <w:rsid w:val="00DC4378"/>
    <w:rsid w:val="00DE46C5"/>
    <w:rsid w:val="00DE5683"/>
    <w:rsid w:val="00E0265C"/>
    <w:rsid w:val="00E02F6F"/>
    <w:rsid w:val="00E379D1"/>
    <w:rsid w:val="00E60126"/>
    <w:rsid w:val="00E60D45"/>
    <w:rsid w:val="00E7599C"/>
    <w:rsid w:val="00E765AE"/>
    <w:rsid w:val="00EA02C4"/>
    <w:rsid w:val="00EA773A"/>
    <w:rsid w:val="00EB3358"/>
    <w:rsid w:val="00EB46C0"/>
    <w:rsid w:val="00EB4A20"/>
    <w:rsid w:val="00EC2CAF"/>
    <w:rsid w:val="00EC32BD"/>
    <w:rsid w:val="00EC7B74"/>
    <w:rsid w:val="00ED6B7E"/>
    <w:rsid w:val="00EE66A8"/>
    <w:rsid w:val="00EF3842"/>
    <w:rsid w:val="00EF5B57"/>
    <w:rsid w:val="00F174BD"/>
    <w:rsid w:val="00F26CBA"/>
    <w:rsid w:val="00F36A94"/>
    <w:rsid w:val="00F647CB"/>
    <w:rsid w:val="00F86CBA"/>
    <w:rsid w:val="00F96C54"/>
    <w:rsid w:val="00FB218C"/>
    <w:rsid w:val="00FB2960"/>
    <w:rsid w:val="00FC01BC"/>
    <w:rsid w:val="00FC4437"/>
    <w:rsid w:val="00FD0425"/>
    <w:rsid w:val="00FD1471"/>
    <w:rsid w:val="00FD5C18"/>
    <w:rsid w:val="00FD6DF5"/>
    <w:rsid w:val="00FE2317"/>
    <w:rsid w:val="00FE2754"/>
    <w:rsid w:val="00FE3963"/>
    <w:rsid w:val="00FE525F"/>
    <w:rsid w:val="00FF1980"/>
    <w:rsid w:val="00FF77FB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D7"/>
    <w:pPr>
      <w:widowControl w:val="0"/>
      <w:suppressAutoHyphens/>
    </w:pPr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7D7"/>
    <w:rPr>
      <w:sz w:val="20"/>
      <w:szCs w:val="20"/>
      <w:lang w:val="x-none"/>
    </w:rPr>
  </w:style>
  <w:style w:type="character" w:customStyle="1" w:styleId="a4">
    <w:name w:val="טקסט הערת שוליים תו"/>
    <w:link w:val="a3"/>
    <w:uiPriority w:val="99"/>
    <w:semiHidden/>
    <w:rsid w:val="00A617D7"/>
    <w:rPr>
      <w:rFonts w:ascii="Times New Roman" w:eastAsia="Arial" w:hAnsi="Times New Roman" w:cs="Times New Roman"/>
      <w:kern w:val="1"/>
      <w:sz w:val="20"/>
      <w:szCs w:val="20"/>
      <w:lang w:eastAsia="he-IL"/>
    </w:rPr>
  </w:style>
  <w:style w:type="character" w:styleId="a5">
    <w:name w:val="footnote reference"/>
    <w:uiPriority w:val="99"/>
    <w:semiHidden/>
    <w:unhideWhenUsed/>
    <w:rsid w:val="00A617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63BB"/>
    <w:rPr>
      <w:rFonts w:ascii="Tahoma" w:hAnsi="Tahoma"/>
      <w:sz w:val="16"/>
      <w:szCs w:val="16"/>
      <w:lang w:val="x-none"/>
    </w:rPr>
  </w:style>
  <w:style w:type="character" w:customStyle="1" w:styleId="a7">
    <w:name w:val="טקסט בלונים תו"/>
    <w:link w:val="a6"/>
    <w:uiPriority w:val="99"/>
    <w:semiHidden/>
    <w:rsid w:val="00CF63BB"/>
    <w:rPr>
      <w:rFonts w:ascii="Tahoma" w:eastAsia="Arial" w:hAnsi="Tahoma" w:cs="Tahoma"/>
      <w:kern w:val="1"/>
      <w:sz w:val="16"/>
      <w:szCs w:val="16"/>
      <w:lang w:eastAsia="he-IL"/>
    </w:rPr>
  </w:style>
  <w:style w:type="paragraph" w:styleId="a8">
    <w:name w:val="header"/>
    <w:basedOn w:val="a"/>
    <w:link w:val="a9"/>
    <w:uiPriority w:val="99"/>
    <w:unhideWhenUsed/>
    <w:rsid w:val="001F5EC4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כותרת עליונה תו"/>
    <w:link w:val="a8"/>
    <w:uiPriority w:val="99"/>
    <w:rsid w:val="001F5EC4"/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paragraph" w:styleId="aa">
    <w:name w:val="footer"/>
    <w:basedOn w:val="a"/>
    <w:link w:val="ab"/>
    <w:uiPriority w:val="99"/>
    <w:unhideWhenUsed/>
    <w:rsid w:val="001F5EC4"/>
    <w:pPr>
      <w:tabs>
        <w:tab w:val="center" w:pos="4153"/>
        <w:tab w:val="right" w:pos="8306"/>
      </w:tabs>
    </w:pPr>
    <w:rPr>
      <w:lang w:val="x-none"/>
    </w:rPr>
  </w:style>
  <w:style w:type="character" w:customStyle="1" w:styleId="ab">
    <w:name w:val="כותרת תחתונה תו"/>
    <w:link w:val="aa"/>
    <w:uiPriority w:val="99"/>
    <w:rsid w:val="001F5EC4"/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character" w:styleId="ac">
    <w:name w:val="annotation reference"/>
    <w:uiPriority w:val="99"/>
    <w:semiHidden/>
    <w:unhideWhenUsed/>
    <w:rsid w:val="00C26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6FAE"/>
    <w:rPr>
      <w:sz w:val="20"/>
      <w:szCs w:val="20"/>
      <w:lang w:val="x-none"/>
    </w:rPr>
  </w:style>
  <w:style w:type="character" w:customStyle="1" w:styleId="ae">
    <w:name w:val="טקסט הערה תו"/>
    <w:link w:val="ad"/>
    <w:uiPriority w:val="99"/>
    <w:semiHidden/>
    <w:rsid w:val="00C26FAE"/>
    <w:rPr>
      <w:rFonts w:ascii="Times New Roman" w:eastAsia="Arial" w:hAnsi="Times New Roman" w:cs="Times New Roman"/>
      <w:kern w:val="1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6FAE"/>
    <w:rPr>
      <w:b/>
      <w:bCs/>
    </w:rPr>
  </w:style>
  <w:style w:type="character" w:customStyle="1" w:styleId="af0">
    <w:name w:val="נושא הערה תו"/>
    <w:link w:val="af"/>
    <w:uiPriority w:val="99"/>
    <w:semiHidden/>
    <w:rsid w:val="00C26FAE"/>
    <w:rPr>
      <w:rFonts w:ascii="Times New Roman" w:eastAsia="Arial" w:hAnsi="Times New Roman" w:cs="Times New Roman"/>
      <w:b/>
      <w:bCs/>
      <w:kern w:val="1"/>
      <w:lang w:eastAsia="he-IL"/>
    </w:rPr>
  </w:style>
  <w:style w:type="paragraph" w:styleId="af1">
    <w:name w:val="List Paragraph"/>
    <w:basedOn w:val="a"/>
    <w:uiPriority w:val="34"/>
    <w:qFormat/>
    <w:rsid w:val="00B86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D7"/>
    <w:pPr>
      <w:widowControl w:val="0"/>
      <w:suppressAutoHyphens/>
    </w:pPr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7D7"/>
    <w:rPr>
      <w:sz w:val="20"/>
      <w:szCs w:val="20"/>
      <w:lang w:val="x-none"/>
    </w:rPr>
  </w:style>
  <w:style w:type="character" w:customStyle="1" w:styleId="a4">
    <w:name w:val="טקסט הערת שוליים תו"/>
    <w:link w:val="a3"/>
    <w:uiPriority w:val="99"/>
    <w:semiHidden/>
    <w:rsid w:val="00A617D7"/>
    <w:rPr>
      <w:rFonts w:ascii="Times New Roman" w:eastAsia="Arial" w:hAnsi="Times New Roman" w:cs="Times New Roman"/>
      <w:kern w:val="1"/>
      <w:sz w:val="20"/>
      <w:szCs w:val="20"/>
      <w:lang w:eastAsia="he-IL"/>
    </w:rPr>
  </w:style>
  <w:style w:type="character" w:styleId="a5">
    <w:name w:val="footnote reference"/>
    <w:uiPriority w:val="99"/>
    <w:semiHidden/>
    <w:unhideWhenUsed/>
    <w:rsid w:val="00A617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63BB"/>
    <w:rPr>
      <w:rFonts w:ascii="Tahoma" w:hAnsi="Tahoma"/>
      <w:sz w:val="16"/>
      <w:szCs w:val="16"/>
      <w:lang w:val="x-none"/>
    </w:rPr>
  </w:style>
  <w:style w:type="character" w:customStyle="1" w:styleId="a7">
    <w:name w:val="טקסט בלונים תו"/>
    <w:link w:val="a6"/>
    <w:uiPriority w:val="99"/>
    <w:semiHidden/>
    <w:rsid w:val="00CF63BB"/>
    <w:rPr>
      <w:rFonts w:ascii="Tahoma" w:eastAsia="Arial" w:hAnsi="Tahoma" w:cs="Tahoma"/>
      <w:kern w:val="1"/>
      <w:sz w:val="16"/>
      <w:szCs w:val="16"/>
      <w:lang w:eastAsia="he-IL"/>
    </w:rPr>
  </w:style>
  <w:style w:type="paragraph" w:styleId="a8">
    <w:name w:val="header"/>
    <w:basedOn w:val="a"/>
    <w:link w:val="a9"/>
    <w:uiPriority w:val="99"/>
    <w:unhideWhenUsed/>
    <w:rsid w:val="001F5EC4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כותרת עליונה תו"/>
    <w:link w:val="a8"/>
    <w:uiPriority w:val="99"/>
    <w:rsid w:val="001F5EC4"/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paragraph" w:styleId="aa">
    <w:name w:val="footer"/>
    <w:basedOn w:val="a"/>
    <w:link w:val="ab"/>
    <w:uiPriority w:val="99"/>
    <w:unhideWhenUsed/>
    <w:rsid w:val="001F5EC4"/>
    <w:pPr>
      <w:tabs>
        <w:tab w:val="center" w:pos="4153"/>
        <w:tab w:val="right" w:pos="8306"/>
      </w:tabs>
    </w:pPr>
    <w:rPr>
      <w:lang w:val="x-none"/>
    </w:rPr>
  </w:style>
  <w:style w:type="character" w:customStyle="1" w:styleId="ab">
    <w:name w:val="כותרת תחתונה תו"/>
    <w:link w:val="aa"/>
    <w:uiPriority w:val="99"/>
    <w:rsid w:val="001F5EC4"/>
    <w:rPr>
      <w:rFonts w:ascii="Times New Roman" w:eastAsia="Arial" w:hAnsi="Times New Roman" w:cs="Times New Roman"/>
      <w:kern w:val="1"/>
      <w:sz w:val="24"/>
      <w:szCs w:val="24"/>
      <w:lang w:eastAsia="he-IL"/>
    </w:rPr>
  </w:style>
  <w:style w:type="character" w:styleId="ac">
    <w:name w:val="annotation reference"/>
    <w:uiPriority w:val="99"/>
    <w:semiHidden/>
    <w:unhideWhenUsed/>
    <w:rsid w:val="00C26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6FAE"/>
    <w:rPr>
      <w:sz w:val="20"/>
      <w:szCs w:val="20"/>
      <w:lang w:val="x-none"/>
    </w:rPr>
  </w:style>
  <w:style w:type="character" w:customStyle="1" w:styleId="ae">
    <w:name w:val="טקסט הערה תו"/>
    <w:link w:val="ad"/>
    <w:uiPriority w:val="99"/>
    <w:semiHidden/>
    <w:rsid w:val="00C26FAE"/>
    <w:rPr>
      <w:rFonts w:ascii="Times New Roman" w:eastAsia="Arial" w:hAnsi="Times New Roman" w:cs="Times New Roman"/>
      <w:kern w:val="1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6FAE"/>
    <w:rPr>
      <w:b/>
      <w:bCs/>
    </w:rPr>
  </w:style>
  <w:style w:type="character" w:customStyle="1" w:styleId="af0">
    <w:name w:val="נושא הערה תו"/>
    <w:link w:val="af"/>
    <w:uiPriority w:val="99"/>
    <w:semiHidden/>
    <w:rsid w:val="00C26FAE"/>
    <w:rPr>
      <w:rFonts w:ascii="Times New Roman" w:eastAsia="Arial" w:hAnsi="Times New Roman" w:cs="Times New Roman"/>
      <w:b/>
      <w:bCs/>
      <w:kern w:val="1"/>
      <w:lang w:eastAsia="he-IL"/>
    </w:rPr>
  </w:style>
  <w:style w:type="paragraph" w:styleId="af1">
    <w:name w:val="List Paragraph"/>
    <w:basedOn w:val="a"/>
    <w:uiPriority w:val="34"/>
    <w:qFormat/>
    <w:rsid w:val="00B8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1000" b="1"/>
              <a:t>תרשים</a:t>
            </a:r>
            <a:r>
              <a:rPr lang="he-IL" sz="1000" b="1" baseline="0"/>
              <a:t> 1:  שיעור היארעות מתוקנן לגיל של סרטן הערמונית ואחוז שינוי שנתי ממוצע לפי קבוצות אוכלוסיה, ישראל 1990-2015</a:t>
            </a:r>
            <a:endParaRPr lang="en-US" sz="10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גברים יהודים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Data!$B$2:$B$27</c:f>
              <c:numCache>
                <c:formatCode>General</c:formatCode>
                <c:ptCount val="26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</c:numCache>
            </c:numRef>
          </c:cat>
          <c:val>
            <c:numRef>
              <c:f>Data!$C$2:$C$27</c:f>
              <c:numCache>
                <c:formatCode>General</c:formatCode>
                <c:ptCount val="26"/>
                <c:pt idx="0">
                  <c:v>25.73</c:v>
                </c:pt>
                <c:pt idx="1">
                  <c:v>26.94</c:v>
                </c:pt>
                <c:pt idx="2">
                  <c:v>34.51</c:v>
                </c:pt>
                <c:pt idx="3">
                  <c:v>39.11</c:v>
                </c:pt>
                <c:pt idx="4">
                  <c:v>45.68</c:v>
                </c:pt>
                <c:pt idx="5">
                  <c:v>58.4</c:v>
                </c:pt>
                <c:pt idx="6">
                  <c:v>43.66</c:v>
                </c:pt>
                <c:pt idx="7">
                  <c:v>48.71</c:v>
                </c:pt>
                <c:pt idx="8">
                  <c:v>50.66</c:v>
                </c:pt>
                <c:pt idx="9">
                  <c:v>47.93</c:v>
                </c:pt>
                <c:pt idx="10">
                  <c:v>53.24</c:v>
                </c:pt>
                <c:pt idx="11">
                  <c:v>57.21</c:v>
                </c:pt>
                <c:pt idx="12">
                  <c:v>59.88</c:v>
                </c:pt>
                <c:pt idx="13">
                  <c:v>64.47</c:v>
                </c:pt>
                <c:pt idx="14">
                  <c:v>68.489999999999995</c:v>
                </c:pt>
                <c:pt idx="15">
                  <c:v>65.42</c:v>
                </c:pt>
                <c:pt idx="16">
                  <c:v>67.56</c:v>
                </c:pt>
                <c:pt idx="17">
                  <c:v>81.400000000000006</c:v>
                </c:pt>
                <c:pt idx="18">
                  <c:v>73.17</c:v>
                </c:pt>
                <c:pt idx="19">
                  <c:v>62.13</c:v>
                </c:pt>
                <c:pt idx="20">
                  <c:v>61.8</c:v>
                </c:pt>
                <c:pt idx="21">
                  <c:v>56.01</c:v>
                </c:pt>
                <c:pt idx="22">
                  <c:v>56.4</c:v>
                </c:pt>
                <c:pt idx="23">
                  <c:v>44.28</c:v>
                </c:pt>
                <c:pt idx="24">
                  <c:v>46.24</c:v>
                </c:pt>
                <c:pt idx="25">
                  <c:v>41.09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212-4529-9786-F18C536AB004}"/>
            </c:ext>
          </c:extLst>
        </c:ser>
        <c:ser>
          <c:idx val="1"/>
          <c:order val="1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Data!$B$2:$B$27</c:f>
              <c:numCache>
                <c:formatCode>General</c:formatCode>
                <c:ptCount val="26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</c:numCache>
            </c:numRef>
          </c:cat>
          <c:val>
            <c:numRef>
              <c:f>Data!$D$2:$D$27</c:f>
              <c:numCache>
                <c:formatCode>General</c:formatCode>
                <c:ptCount val="26"/>
                <c:pt idx="0">
                  <c:v>24.99</c:v>
                </c:pt>
                <c:pt idx="1">
                  <c:v>28.89</c:v>
                </c:pt>
                <c:pt idx="2">
                  <c:v>33.4</c:v>
                </c:pt>
                <c:pt idx="3">
                  <c:v>38.619999999999997</c:v>
                </c:pt>
                <c:pt idx="4">
                  <c:v>44.65</c:v>
                </c:pt>
                <c:pt idx="5">
                  <c:v>46.46</c:v>
                </c:pt>
                <c:pt idx="6">
                  <c:v>48.34</c:v>
                </c:pt>
                <c:pt idx="7">
                  <c:v>50.29</c:v>
                </c:pt>
                <c:pt idx="8">
                  <c:v>52.32</c:v>
                </c:pt>
                <c:pt idx="9">
                  <c:v>54.44</c:v>
                </c:pt>
                <c:pt idx="10">
                  <c:v>56.64</c:v>
                </c:pt>
                <c:pt idx="11">
                  <c:v>58.93</c:v>
                </c:pt>
                <c:pt idx="12">
                  <c:v>61.31</c:v>
                </c:pt>
                <c:pt idx="13">
                  <c:v>63.79</c:v>
                </c:pt>
                <c:pt idx="14">
                  <c:v>66.37</c:v>
                </c:pt>
                <c:pt idx="15">
                  <c:v>69.05</c:v>
                </c:pt>
                <c:pt idx="16">
                  <c:v>71.84</c:v>
                </c:pt>
                <c:pt idx="17">
                  <c:v>74.739999999999995</c:v>
                </c:pt>
                <c:pt idx="18">
                  <c:v>69.55</c:v>
                </c:pt>
                <c:pt idx="19">
                  <c:v>64.72</c:v>
                </c:pt>
                <c:pt idx="20">
                  <c:v>60.23</c:v>
                </c:pt>
                <c:pt idx="21">
                  <c:v>56.04</c:v>
                </c:pt>
                <c:pt idx="22">
                  <c:v>52.15</c:v>
                </c:pt>
                <c:pt idx="23">
                  <c:v>48.53</c:v>
                </c:pt>
                <c:pt idx="24">
                  <c:v>45.16</c:v>
                </c:pt>
                <c:pt idx="25">
                  <c:v>42.02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212-4529-9786-F18C536AB004}"/>
            </c:ext>
          </c:extLst>
        </c:ser>
        <c:ser>
          <c:idx val="2"/>
          <c:order val="2"/>
          <c:tx>
            <c:v>גברים ערבים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noFill/>
              </a:ln>
              <a:effectLst/>
            </c:spPr>
          </c:marker>
          <c:val>
            <c:numRef>
              <c:f>Data!$C$28:$C$53</c:f>
              <c:numCache>
                <c:formatCode>General</c:formatCode>
                <c:ptCount val="26"/>
                <c:pt idx="0">
                  <c:v>9.43</c:v>
                </c:pt>
                <c:pt idx="1">
                  <c:v>10.78</c:v>
                </c:pt>
                <c:pt idx="2">
                  <c:v>12.15</c:v>
                </c:pt>
                <c:pt idx="3">
                  <c:v>16.100000000000001</c:v>
                </c:pt>
                <c:pt idx="4">
                  <c:v>18.21</c:v>
                </c:pt>
                <c:pt idx="5">
                  <c:v>18.670000000000002</c:v>
                </c:pt>
                <c:pt idx="6">
                  <c:v>16.7</c:v>
                </c:pt>
                <c:pt idx="7">
                  <c:v>18.920000000000002</c:v>
                </c:pt>
                <c:pt idx="8">
                  <c:v>23.36</c:v>
                </c:pt>
                <c:pt idx="9">
                  <c:v>23.12</c:v>
                </c:pt>
                <c:pt idx="10">
                  <c:v>26.24</c:v>
                </c:pt>
                <c:pt idx="11">
                  <c:v>27.14</c:v>
                </c:pt>
                <c:pt idx="12">
                  <c:v>24.21</c:v>
                </c:pt>
                <c:pt idx="13">
                  <c:v>27.99</c:v>
                </c:pt>
                <c:pt idx="14">
                  <c:v>35.64</c:v>
                </c:pt>
                <c:pt idx="15">
                  <c:v>37.520000000000003</c:v>
                </c:pt>
                <c:pt idx="16">
                  <c:v>33.729999999999997</c:v>
                </c:pt>
                <c:pt idx="17">
                  <c:v>36.58</c:v>
                </c:pt>
                <c:pt idx="18">
                  <c:v>35.81</c:v>
                </c:pt>
                <c:pt idx="19">
                  <c:v>28.4</c:v>
                </c:pt>
                <c:pt idx="20">
                  <c:v>30.64</c:v>
                </c:pt>
                <c:pt idx="21">
                  <c:v>31.85</c:v>
                </c:pt>
                <c:pt idx="22">
                  <c:v>31.36</c:v>
                </c:pt>
                <c:pt idx="23">
                  <c:v>23.96</c:v>
                </c:pt>
                <c:pt idx="24">
                  <c:v>25.23</c:v>
                </c:pt>
                <c:pt idx="25">
                  <c:v>24.52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212-4529-9786-F18C536AB004}"/>
            </c:ext>
          </c:extLst>
        </c:ser>
        <c:ser>
          <c:idx val="3"/>
          <c:order val="3"/>
          <c:spPr>
            <a:ln w="254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Data!$D$28:$D$53</c:f>
              <c:numCache>
                <c:formatCode>General</c:formatCode>
                <c:ptCount val="26"/>
                <c:pt idx="0">
                  <c:v>11.36</c:v>
                </c:pt>
                <c:pt idx="1">
                  <c:v>12.29</c:v>
                </c:pt>
                <c:pt idx="2">
                  <c:v>13.3</c:v>
                </c:pt>
                <c:pt idx="3">
                  <c:v>14.39</c:v>
                </c:pt>
                <c:pt idx="4">
                  <c:v>15.57</c:v>
                </c:pt>
                <c:pt idx="5">
                  <c:v>16.850000000000001</c:v>
                </c:pt>
                <c:pt idx="6">
                  <c:v>18.239999999999998</c:v>
                </c:pt>
                <c:pt idx="7">
                  <c:v>19.73</c:v>
                </c:pt>
                <c:pt idx="8">
                  <c:v>21.35</c:v>
                </c:pt>
                <c:pt idx="9">
                  <c:v>23.11</c:v>
                </c:pt>
                <c:pt idx="10">
                  <c:v>25</c:v>
                </c:pt>
                <c:pt idx="11">
                  <c:v>27.06</c:v>
                </c:pt>
                <c:pt idx="12">
                  <c:v>29.28</c:v>
                </c:pt>
                <c:pt idx="13">
                  <c:v>31.68</c:v>
                </c:pt>
                <c:pt idx="14">
                  <c:v>34.29</c:v>
                </c:pt>
                <c:pt idx="15">
                  <c:v>37.1</c:v>
                </c:pt>
                <c:pt idx="16">
                  <c:v>35.67</c:v>
                </c:pt>
                <c:pt idx="17">
                  <c:v>34.29</c:v>
                </c:pt>
                <c:pt idx="18">
                  <c:v>32.97</c:v>
                </c:pt>
                <c:pt idx="19">
                  <c:v>31.7</c:v>
                </c:pt>
                <c:pt idx="20">
                  <c:v>30.47</c:v>
                </c:pt>
                <c:pt idx="21">
                  <c:v>29.3</c:v>
                </c:pt>
                <c:pt idx="22">
                  <c:v>28.17</c:v>
                </c:pt>
                <c:pt idx="23">
                  <c:v>27.08</c:v>
                </c:pt>
                <c:pt idx="24">
                  <c:v>26.04</c:v>
                </c:pt>
                <c:pt idx="25">
                  <c:v>25.03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212-4529-9786-F18C536AB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31872"/>
        <c:axId val="78671232"/>
      </c:lineChart>
      <c:catAx>
        <c:axId val="48831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b="1"/>
                  <a:t>שנת אבחנה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71232"/>
        <c:crosses val="autoZero"/>
        <c:auto val="1"/>
        <c:lblAlgn val="ctr"/>
        <c:lblOffset val="100"/>
        <c:noMultiLvlLbl val="0"/>
      </c:catAx>
      <c:valAx>
        <c:axId val="786712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b="1"/>
                  <a:t>שיעור היארעות מתוקנן לגיל ל-100,000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318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7.9871908785261819E-2"/>
          <c:y val="0.16759023761410355"/>
          <c:w val="0.4089568114122985"/>
          <c:h val="6.1082042164084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e-IL" sz="1000"/>
              <a:t>תרשים 2: שיעור ההיארעות של סרטן חודרני של הערמונית </a:t>
            </a:r>
          </a:p>
          <a:p>
            <a:pPr>
              <a:defRPr sz="1000"/>
            </a:pPr>
            <a:r>
              <a:rPr lang="he-IL" sz="1000"/>
              <a:t>לפי קבוצת אוכלוסיה וקבוצת</a:t>
            </a:r>
            <a:r>
              <a:rPr lang="he-IL" sz="1000" baseline="0"/>
              <a:t> גיל, ישראל, 2015</a:t>
            </a:r>
            <a:endParaRPr lang="he-IL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גברים יהודים</c:v>
          </c:tx>
          <c:invertIfNegative val="0"/>
          <c:cat>
            <c:strRef>
              <c:f>ASRs!$A$45:$A$53</c:f>
              <c:strCache>
                <c:ptCount val="9"/>
                <c:pt idx="0">
                  <c:v>35 to 39</c:v>
                </c:pt>
                <c:pt idx="1">
                  <c:v>40 to 44</c:v>
                </c:pt>
                <c:pt idx="2">
                  <c:v>45 to 49</c:v>
                </c:pt>
                <c:pt idx="3">
                  <c:v>50 to 54</c:v>
                </c:pt>
                <c:pt idx="4">
                  <c:v>55 to 59</c:v>
                </c:pt>
                <c:pt idx="5">
                  <c:v>60 to 64</c:v>
                </c:pt>
                <c:pt idx="6">
                  <c:v>65 to 69</c:v>
                </c:pt>
                <c:pt idx="7">
                  <c:v>70 to 74</c:v>
                </c:pt>
                <c:pt idx="8">
                  <c:v>75+</c:v>
                </c:pt>
              </c:strCache>
            </c:strRef>
          </c:cat>
          <c:val>
            <c:numRef>
              <c:f>ASRs!$C$45:$C$53</c:f>
              <c:numCache>
                <c:formatCode>General</c:formatCode>
                <c:ptCount val="9"/>
                <c:pt idx="0">
                  <c:v>0.48</c:v>
                </c:pt>
                <c:pt idx="1">
                  <c:v>1.57</c:v>
                </c:pt>
                <c:pt idx="2">
                  <c:v>5.63</c:v>
                </c:pt>
                <c:pt idx="3">
                  <c:v>31.86</c:v>
                </c:pt>
                <c:pt idx="4">
                  <c:v>100.87</c:v>
                </c:pt>
                <c:pt idx="5">
                  <c:v>182.49</c:v>
                </c:pt>
                <c:pt idx="6">
                  <c:v>484.67</c:v>
                </c:pt>
                <c:pt idx="7">
                  <c:v>316.3</c:v>
                </c:pt>
                <c:pt idx="8">
                  <c:v>341.62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15-40F9-AB17-A3C4FF50D52C}"/>
            </c:ext>
          </c:extLst>
        </c:ser>
        <c:ser>
          <c:idx val="1"/>
          <c:order val="1"/>
          <c:tx>
            <c:v>גברים ערבים</c:v>
          </c:tx>
          <c:invertIfNegative val="0"/>
          <c:cat>
            <c:strRef>
              <c:f>ASRs!$A$45:$A$53</c:f>
              <c:strCache>
                <c:ptCount val="9"/>
                <c:pt idx="0">
                  <c:v>35 to 39</c:v>
                </c:pt>
                <c:pt idx="1">
                  <c:v>40 to 44</c:v>
                </c:pt>
                <c:pt idx="2">
                  <c:v>45 to 49</c:v>
                </c:pt>
                <c:pt idx="3">
                  <c:v>50 to 54</c:v>
                </c:pt>
                <c:pt idx="4">
                  <c:v>55 to 59</c:v>
                </c:pt>
                <c:pt idx="5">
                  <c:v>60 to 64</c:v>
                </c:pt>
                <c:pt idx="6">
                  <c:v>65 to 69</c:v>
                </c:pt>
                <c:pt idx="7">
                  <c:v>70 to 74</c:v>
                </c:pt>
                <c:pt idx="8">
                  <c:v>75+</c:v>
                </c:pt>
              </c:strCache>
            </c:strRef>
          </c:cat>
          <c:val>
            <c:numRef>
              <c:f>ASRs!$E$45:$E$53</c:f>
              <c:numCache>
                <c:formatCode>General</c:formatCode>
                <c:ptCount val="9"/>
                <c:pt idx="0">
                  <c:v>0</c:v>
                </c:pt>
                <c:pt idx="1">
                  <c:v>1.92</c:v>
                </c:pt>
                <c:pt idx="2">
                  <c:v>2.2599999999999998</c:v>
                </c:pt>
                <c:pt idx="3">
                  <c:v>13.44</c:v>
                </c:pt>
                <c:pt idx="4">
                  <c:v>37.31</c:v>
                </c:pt>
                <c:pt idx="5">
                  <c:v>119.17</c:v>
                </c:pt>
                <c:pt idx="6">
                  <c:v>186.05</c:v>
                </c:pt>
                <c:pt idx="7">
                  <c:v>346.53</c:v>
                </c:pt>
                <c:pt idx="8">
                  <c:v>241.38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15-40F9-AB17-A3C4FF50D52C}"/>
            </c:ext>
          </c:extLst>
        </c:ser>
        <c:ser>
          <c:idx val="2"/>
          <c:order val="2"/>
          <c:tx>
            <c:v>גברים אחרים</c:v>
          </c:tx>
          <c:invertIfNegative val="0"/>
          <c:cat>
            <c:strRef>
              <c:f>ASRs!$A$45:$A$53</c:f>
              <c:strCache>
                <c:ptCount val="9"/>
                <c:pt idx="0">
                  <c:v>35 to 39</c:v>
                </c:pt>
                <c:pt idx="1">
                  <c:v>40 to 44</c:v>
                </c:pt>
                <c:pt idx="2">
                  <c:v>45 to 49</c:v>
                </c:pt>
                <c:pt idx="3">
                  <c:v>50 to 54</c:v>
                </c:pt>
                <c:pt idx="4">
                  <c:v>55 to 59</c:v>
                </c:pt>
                <c:pt idx="5">
                  <c:v>60 to 64</c:v>
                </c:pt>
                <c:pt idx="6">
                  <c:v>65 to 69</c:v>
                </c:pt>
                <c:pt idx="7">
                  <c:v>70 to 74</c:v>
                </c:pt>
                <c:pt idx="8">
                  <c:v>75+</c:v>
                </c:pt>
              </c:strCache>
            </c:strRef>
          </c:cat>
          <c:val>
            <c:numRef>
              <c:f>ASRs!$G$45:$G$53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8.33</c:v>
                </c:pt>
                <c:pt idx="3">
                  <c:v>38.83</c:v>
                </c:pt>
                <c:pt idx="4">
                  <c:v>160.49</c:v>
                </c:pt>
                <c:pt idx="5">
                  <c:v>343.28</c:v>
                </c:pt>
                <c:pt idx="6">
                  <c:v>568.97</c:v>
                </c:pt>
                <c:pt idx="7">
                  <c:v>407.41</c:v>
                </c:pt>
                <c:pt idx="8">
                  <c:v>478.26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15-40F9-AB17-A3C4FF50D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94240"/>
        <c:axId val="32396416"/>
      </c:barChart>
      <c:catAx>
        <c:axId val="3239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he-IL" sz="900"/>
                  <a:t>קבוצת גיל</a:t>
                </a:r>
              </a:p>
            </c:rich>
          </c:tx>
          <c:layout>
            <c:manualLayout>
              <c:xMode val="edge"/>
              <c:yMode val="edge"/>
              <c:x val="0.49560056196924335"/>
              <c:y val="0.8768994558795598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2396416"/>
        <c:crosses val="autoZero"/>
        <c:auto val="1"/>
        <c:lblAlgn val="ctr"/>
        <c:lblOffset val="100"/>
        <c:noMultiLvlLbl val="0"/>
      </c:catAx>
      <c:valAx>
        <c:axId val="323964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900"/>
                </a:pPr>
                <a:r>
                  <a:rPr lang="he-IL" sz="900"/>
                  <a:t>שיעור סגולי לגיל ל-100,000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2394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722687481983828"/>
          <c:y val="0.16098193949287917"/>
          <c:w val="0.53549980945374842"/>
          <c:h val="3.780906842734604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1000" b="1"/>
              <a:t>תרשים 3: שיעור תמותה מסרטן הערמונית (מתוקנן</a:t>
            </a:r>
            <a:r>
              <a:rPr lang="he-IL" sz="1000" b="1" baseline="0"/>
              <a:t> לגיל ל-100,000) בגברים בישראל, 1990-2015, לפי קבוצת אוכלוסיה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949242883101163E-2"/>
          <c:y val="0.11982223208870214"/>
          <c:w val="0.89200802207416385"/>
          <c:h val="0.78381512295322919"/>
        </c:manualLayout>
      </c:layout>
      <c:lineChart>
        <c:grouping val="standard"/>
        <c:varyColors val="0"/>
        <c:ser>
          <c:idx val="0"/>
          <c:order val="0"/>
          <c:tx>
            <c:v>גברים יהודים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Data!$C$2:$C$27</c:f>
              <c:numCache>
                <c:formatCode>General</c:formatCode>
                <c:ptCount val="26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</c:numCache>
            </c:numRef>
          </c:cat>
          <c:val>
            <c:numRef>
              <c:f>Data!$D$2:$D$27</c:f>
              <c:numCache>
                <c:formatCode>General</c:formatCode>
                <c:ptCount val="26"/>
                <c:pt idx="0">
                  <c:v>2.76</c:v>
                </c:pt>
                <c:pt idx="1">
                  <c:v>2.62</c:v>
                </c:pt>
                <c:pt idx="2">
                  <c:v>2.87</c:v>
                </c:pt>
                <c:pt idx="3">
                  <c:v>2.68</c:v>
                </c:pt>
                <c:pt idx="4">
                  <c:v>2.86</c:v>
                </c:pt>
                <c:pt idx="5">
                  <c:v>12.25</c:v>
                </c:pt>
                <c:pt idx="6">
                  <c:v>11.74</c:v>
                </c:pt>
                <c:pt idx="7">
                  <c:v>11.21</c:v>
                </c:pt>
                <c:pt idx="8">
                  <c:v>11.85</c:v>
                </c:pt>
                <c:pt idx="9">
                  <c:v>10.09</c:v>
                </c:pt>
                <c:pt idx="10">
                  <c:v>8.5299999999999994</c:v>
                </c:pt>
                <c:pt idx="11">
                  <c:v>9.7100000000000009</c:v>
                </c:pt>
                <c:pt idx="12">
                  <c:v>8.52</c:v>
                </c:pt>
                <c:pt idx="13">
                  <c:v>8.94</c:v>
                </c:pt>
                <c:pt idx="14">
                  <c:v>8.83</c:v>
                </c:pt>
                <c:pt idx="15">
                  <c:v>8.11</c:v>
                </c:pt>
                <c:pt idx="16">
                  <c:v>7.63</c:v>
                </c:pt>
                <c:pt idx="17">
                  <c:v>7.01</c:v>
                </c:pt>
                <c:pt idx="18">
                  <c:v>7.33</c:v>
                </c:pt>
                <c:pt idx="19">
                  <c:v>6.87</c:v>
                </c:pt>
                <c:pt idx="20">
                  <c:v>6.56</c:v>
                </c:pt>
                <c:pt idx="21">
                  <c:v>6.86</c:v>
                </c:pt>
                <c:pt idx="22">
                  <c:v>6.55</c:v>
                </c:pt>
                <c:pt idx="23">
                  <c:v>5.96</c:v>
                </c:pt>
                <c:pt idx="24">
                  <c:v>6.6</c:v>
                </c:pt>
                <c:pt idx="25">
                  <c:v>6.41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26D-4A6A-9CB3-52F9824526E3}"/>
            </c:ext>
          </c:extLst>
        </c:ser>
        <c:ser>
          <c:idx val="1"/>
          <c:order val="1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Data!$C$2:$C$27</c:f>
              <c:numCache>
                <c:formatCode>General</c:formatCode>
                <c:ptCount val="26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</c:numCache>
            </c:numRef>
          </c:cat>
          <c:val>
            <c:numRef>
              <c:f>Data!$E$2:$E$27</c:f>
              <c:numCache>
                <c:formatCode>General</c:formatCode>
                <c:ptCount val="26"/>
                <c:pt idx="0">
                  <c:v>1.6</c:v>
                </c:pt>
                <c:pt idx="1">
                  <c:v>2.36</c:v>
                </c:pt>
                <c:pt idx="2">
                  <c:v>3.49</c:v>
                </c:pt>
                <c:pt idx="3">
                  <c:v>5.17</c:v>
                </c:pt>
                <c:pt idx="4">
                  <c:v>7.64</c:v>
                </c:pt>
                <c:pt idx="5">
                  <c:v>11.3</c:v>
                </c:pt>
                <c:pt idx="6">
                  <c:v>10.94</c:v>
                </c:pt>
                <c:pt idx="7">
                  <c:v>10.6</c:v>
                </c:pt>
                <c:pt idx="8">
                  <c:v>10.26</c:v>
                </c:pt>
                <c:pt idx="9">
                  <c:v>9.94</c:v>
                </c:pt>
                <c:pt idx="10">
                  <c:v>9.6199999999999992</c:v>
                </c:pt>
                <c:pt idx="11">
                  <c:v>9.32</c:v>
                </c:pt>
                <c:pt idx="12">
                  <c:v>9.02</c:v>
                </c:pt>
                <c:pt idx="13">
                  <c:v>8.74</c:v>
                </c:pt>
                <c:pt idx="14">
                  <c:v>8.4600000000000009</c:v>
                </c:pt>
                <c:pt idx="15">
                  <c:v>8.19</c:v>
                </c:pt>
                <c:pt idx="16">
                  <c:v>7.93</c:v>
                </c:pt>
                <c:pt idx="17">
                  <c:v>7.68</c:v>
                </c:pt>
                <c:pt idx="18">
                  <c:v>7.44</c:v>
                </c:pt>
                <c:pt idx="19">
                  <c:v>7.2</c:v>
                </c:pt>
                <c:pt idx="20">
                  <c:v>6.97</c:v>
                </c:pt>
                <c:pt idx="21">
                  <c:v>6.75</c:v>
                </c:pt>
                <c:pt idx="22">
                  <c:v>6.54</c:v>
                </c:pt>
                <c:pt idx="23">
                  <c:v>6.33</c:v>
                </c:pt>
                <c:pt idx="24">
                  <c:v>6.13</c:v>
                </c:pt>
                <c:pt idx="25">
                  <c:v>5.94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26D-4A6A-9CB3-52F9824526E3}"/>
            </c:ext>
          </c:extLst>
        </c:ser>
        <c:ser>
          <c:idx val="2"/>
          <c:order val="2"/>
          <c:tx>
            <c:v>גברים ערבים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noFill/>
              </a:ln>
              <a:effectLst/>
            </c:spPr>
          </c:marker>
          <c:val>
            <c:numRef>
              <c:f>Data!$D$28:$D$53</c:f>
              <c:numCache>
                <c:formatCode>General</c:formatCode>
                <c:ptCount val="26"/>
                <c:pt idx="0">
                  <c:v>8.07</c:v>
                </c:pt>
                <c:pt idx="1">
                  <c:v>5.47</c:v>
                </c:pt>
                <c:pt idx="2">
                  <c:v>6.69</c:v>
                </c:pt>
                <c:pt idx="3">
                  <c:v>8.1999999999999993</c:v>
                </c:pt>
                <c:pt idx="4">
                  <c:v>8.5299999999999994</c:v>
                </c:pt>
                <c:pt idx="5">
                  <c:v>10.97</c:v>
                </c:pt>
                <c:pt idx="6">
                  <c:v>10.26</c:v>
                </c:pt>
                <c:pt idx="7">
                  <c:v>6.52</c:v>
                </c:pt>
                <c:pt idx="8">
                  <c:v>7.3</c:v>
                </c:pt>
                <c:pt idx="9">
                  <c:v>6.42</c:v>
                </c:pt>
                <c:pt idx="10">
                  <c:v>8.76</c:v>
                </c:pt>
                <c:pt idx="11">
                  <c:v>9.4700000000000006</c:v>
                </c:pt>
                <c:pt idx="12">
                  <c:v>4.76</c:v>
                </c:pt>
                <c:pt idx="13">
                  <c:v>7.77</c:v>
                </c:pt>
                <c:pt idx="14">
                  <c:v>7.38</c:v>
                </c:pt>
                <c:pt idx="15">
                  <c:v>5.97</c:v>
                </c:pt>
                <c:pt idx="16">
                  <c:v>6.68</c:v>
                </c:pt>
                <c:pt idx="17">
                  <c:v>9.51</c:v>
                </c:pt>
                <c:pt idx="18">
                  <c:v>6.99</c:v>
                </c:pt>
                <c:pt idx="19">
                  <c:v>4.45</c:v>
                </c:pt>
                <c:pt idx="20">
                  <c:v>5.08</c:v>
                </c:pt>
                <c:pt idx="21">
                  <c:v>6.18</c:v>
                </c:pt>
                <c:pt idx="22">
                  <c:v>6.04</c:v>
                </c:pt>
                <c:pt idx="23">
                  <c:v>4.22</c:v>
                </c:pt>
                <c:pt idx="24">
                  <c:v>5.75</c:v>
                </c:pt>
                <c:pt idx="25">
                  <c:v>6.49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26D-4A6A-9CB3-52F9824526E3}"/>
            </c:ext>
          </c:extLst>
        </c:ser>
        <c:ser>
          <c:idx val="3"/>
          <c:order val="3"/>
          <c:spPr>
            <a:ln w="254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Data!$E$28:$E$53</c:f>
              <c:numCache>
                <c:formatCode>General</c:formatCode>
                <c:ptCount val="26"/>
                <c:pt idx="0">
                  <c:v>8.9700000000000006</c:v>
                </c:pt>
                <c:pt idx="1">
                  <c:v>8.81</c:v>
                </c:pt>
                <c:pt idx="2">
                  <c:v>8.66</c:v>
                </c:pt>
                <c:pt idx="3">
                  <c:v>8.5</c:v>
                </c:pt>
                <c:pt idx="4">
                  <c:v>8.35</c:v>
                </c:pt>
                <c:pt idx="5">
                  <c:v>8.1999999999999993</c:v>
                </c:pt>
                <c:pt idx="6">
                  <c:v>8.06</c:v>
                </c:pt>
                <c:pt idx="7">
                  <c:v>7.91</c:v>
                </c:pt>
                <c:pt idx="8">
                  <c:v>7.77</c:v>
                </c:pt>
                <c:pt idx="9">
                  <c:v>7.63</c:v>
                </c:pt>
                <c:pt idx="10">
                  <c:v>7.5</c:v>
                </c:pt>
                <c:pt idx="11">
                  <c:v>7.37</c:v>
                </c:pt>
                <c:pt idx="12">
                  <c:v>7.24</c:v>
                </c:pt>
                <c:pt idx="13">
                  <c:v>7.11</c:v>
                </c:pt>
                <c:pt idx="14">
                  <c:v>6.98</c:v>
                </c:pt>
                <c:pt idx="15">
                  <c:v>6.86</c:v>
                </c:pt>
                <c:pt idx="16">
                  <c:v>6.73</c:v>
                </c:pt>
                <c:pt idx="17">
                  <c:v>6.62</c:v>
                </c:pt>
                <c:pt idx="18">
                  <c:v>6.5</c:v>
                </c:pt>
                <c:pt idx="19">
                  <c:v>6.38</c:v>
                </c:pt>
                <c:pt idx="20">
                  <c:v>6.27</c:v>
                </c:pt>
                <c:pt idx="21">
                  <c:v>6.16</c:v>
                </c:pt>
                <c:pt idx="22">
                  <c:v>6.05</c:v>
                </c:pt>
                <c:pt idx="23">
                  <c:v>5.94</c:v>
                </c:pt>
                <c:pt idx="24">
                  <c:v>5.84</c:v>
                </c:pt>
                <c:pt idx="25">
                  <c:v>5.73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26D-4A6A-9CB3-52F9824526E3}"/>
            </c:ext>
          </c:extLst>
        </c:ser>
        <c:ser>
          <c:idx val="4"/>
          <c:order val="4"/>
          <c:tx>
            <c:v>גברים אחרים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noFill/>
              </a:ln>
              <a:effectLst/>
            </c:spPr>
          </c:marker>
          <c:val>
            <c:numRef>
              <c:f>Data!$D$54:$D$79</c:f>
              <c:numCache>
                <c:formatCode>General</c:formatCode>
                <c:ptCount val="26"/>
                <c:pt idx="6">
                  <c:v>3.64</c:v>
                </c:pt>
                <c:pt idx="7">
                  <c:v>5</c:v>
                </c:pt>
                <c:pt idx="8">
                  <c:v>6.67</c:v>
                </c:pt>
                <c:pt idx="9">
                  <c:v>8.5299999999999994</c:v>
                </c:pt>
                <c:pt idx="10">
                  <c:v>10.66</c:v>
                </c:pt>
                <c:pt idx="11">
                  <c:v>3.67</c:v>
                </c:pt>
                <c:pt idx="12">
                  <c:v>3.78</c:v>
                </c:pt>
                <c:pt idx="13">
                  <c:v>8.73</c:v>
                </c:pt>
                <c:pt idx="14">
                  <c:v>9.33</c:v>
                </c:pt>
                <c:pt idx="15">
                  <c:v>6.58</c:v>
                </c:pt>
                <c:pt idx="16">
                  <c:v>10.48</c:v>
                </c:pt>
                <c:pt idx="17">
                  <c:v>8.9</c:v>
                </c:pt>
                <c:pt idx="18">
                  <c:v>6.16</c:v>
                </c:pt>
                <c:pt idx="19">
                  <c:v>8.5</c:v>
                </c:pt>
                <c:pt idx="20">
                  <c:v>7.79</c:v>
                </c:pt>
                <c:pt idx="21">
                  <c:v>9.93</c:v>
                </c:pt>
                <c:pt idx="22">
                  <c:v>8.64</c:v>
                </c:pt>
                <c:pt idx="23">
                  <c:v>10.29</c:v>
                </c:pt>
                <c:pt idx="24">
                  <c:v>10.52</c:v>
                </c:pt>
                <c:pt idx="25">
                  <c:v>10.97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26D-4A6A-9CB3-52F9824526E3}"/>
            </c:ext>
          </c:extLst>
        </c:ser>
        <c:ser>
          <c:idx val="5"/>
          <c:order val="5"/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Data!$E$54:$E$79</c:f>
              <c:numCache>
                <c:formatCode>General</c:formatCode>
                <c:ptCount val="26"/>
                <c:pt idx="6">
                  <c:v>6.29</c:v>
                </c:pt>
                <c:pt idx="7">
                  <c:v>6.46</c:v>
                </c:pt>
                <c:pt idx="8">
                  <c:v>6.64</c:v>
                </c:pt>
                <c:pt idx="9">
                  <c:v>6.82</c:v>
                </c:pt>
                <c:pt idx="10">
                  <c:v>7</c:v>
                </c:pt>
                <c:pt idx="11">
                  <c:v>7.19</c:v>
                </c:pt>
                <c:pt idx="12">
                  <c:v>7.39</c:v>
                </c:pt>
                <c:pt idx="13">
                  <c:v>7.59</c:v>
                </c:pt>
                <c:pt idx="14">
                  <c:v>7.79</c:v>
                </c:pt>
                <c:pt idx="15">
                  <c:v>8.01</c:v>
                </c:pt>
                <c:pt idx="16">
                  <c:v>8.2200000000000006</c:v>
                </c:pt>
                <c:pt idx="17">
                  <c:v>8.4499999999999993</c:v>
                </c:pt>
                <c:pt idx="18">
                  <c:v>8.68</c:v>
                </c:pt>
                <c:pt idx="19">
                  <c:v>8.91</c:v>
                </c:pt>
                <c:pt idx="20">
                  <c:v>9.15</c:v>
                </c:pt>
                <c:pt idx="21">
                  <c:v>9.4</c:v>
                </c:pt>
                <c:pt idx="22">
                  <c:v>9.66</c:v>
                </c:pt>
                <c:pt idx="23">
                  <c:v>9.92</c:v>
                </c:pt>
                <c:pt idx="24">
                  <c:v>10.19</c:v>
                </c:pt>
                <c:pt idx="25">
                  <c:v>10.46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26D-4A6A-9CB3-52F9824526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64896"/>
        <c:axId val="32466816"/>
      </c:lineChart>
      <c:catAx>
        <c:axId val="32464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שנת פטירה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66816"/>
        <c:crosses val="autoZero"/>
        <c:auto val="1"/>
        <c:lblAlgn val="ctr"/>
        <c:lblOffset val="100"/>
        <c:noMultiLvlLbl val="0"/>
      </c:catAx>
      <c:valAx>
        <c:axId val="324668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שיעור תמותה ל-100,000 מתוקנן לגיל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6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454248023910306"/>
          <c:y val="0.85189311288215652"/>
          <c:w val="0.52500803553401976"/>
          <c:h val="3.529436758123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e-IL" sz="1000"/>
              <a:t>תרשים 4: שיעור תמותה סגולי לגיל (ל-100,000) מסרטן הערמונית </a:t>
            </a:r>
          </a:p>
          <a:p>
            <a:pPr>
              <a:defRPr sz="1000"/>
            </a:pPr>
            <a:r>
              <a:rPr lang="he-IL" sz="1000"/>
              <a:t>לפי קבוצת אוכלוסייה, ישראל 2015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יהודים</c:v>
                </c:pt>
              </c:strCache>
            </c:strRef>
          </c:tx>
          <c:invertIfNegative val="0"/>
          <c:cat>
            <c:strRef>
              <c:f>גיליון1!$A$2:$A$7</c:f>
              <c:strCache>
                <c:ptCount val="6"/>
                <c:pt idx="0">
                  <c:v>50-54</c:v>
                </c:pt>
                <c:pt idx="1">
                  <c:v>55-59</c:v>
                </c:pt>
                <c:pt idx="2">
                  <c:v>60-64</c:v>
                </c:pt>
                <c:pt idx="3">
                  <c:v>65-69</c:v>
                </c:pt>
                <c:pt idx="4">
                  <c:v>70-74</c:v>
                </c:pt>
                <c:pt idx="5">
                  <c:v>75+</c:v>
                </c:pt>
              </c:strCache>
            </c:strRef>
          </c:cat>
          <c:val>
            <c:numRef>
              <c:f>גיליון1!$B$2:$B$7</c:f>
              <c:numCache>
                <c:formatCode>General</c:formatCode>
                <c:ptCount val="6"/>
                <c:pt idx="0">
                  <c:v>1.37</c:v>
                </c:pt>
                <c:pt idx="1">
                  <c:v>2.69</c:v>
                </c:pt>
                <c:pt idx="2">
                  <c:v>13.47</c:v>
                </c:pt>
                <c:pt idx="3">
                  <c:v>19</c:v>
                </c:pt>
                <c:pt idx="4">
                  <c:v>43.24</c:v>
                </c:pt>
                <c:pt idx="5">
                  <c:v>212.84</c:v>
                </c:pt>
              </c:numCache>
            </c:numRef>
          </c:val>
        </c:ser>
        <c:ser>
          <c:idx val="1"/>
          <c:order val="1"/>
          <c:tx>
            <c:strRef>
              <c:f>גיליון1!$C$1</c:f>
              <c:strCache>
                <c:ptCount val="1"/>
                <c:pt idx="0">
                  <c:v>ערבים</c:v>
                </c:pt>
              </c:strCache>
            </c:strRef>
          </c:tx>
          <c:invertIfNegative val="0"/>
          <c:cat>
            <c:strRef>
              <c:f>גיליון1!$A$2:$A$7</c:f>
              <c:strCache>
                <c:ptCount val="6"/>
                <c:pt idx="0">
                  <c:v>50-54</c:v>
                </c:pt>
                <c:pt idx="1">
                  <c:v>55-59</c:v>
                </c:pt>
                <c:pt idx="2">
                  <c:v>60-64</c:v>
                </c:pt>
                <c:pt idx="3">
                  <c:v>65-69</c:v>
                </c:pt>
                <c:pt idx="4">
                  <c:v>70-74</c:v>
                </c:pt>
                <c:pt idx="5">
                  <c:v>75+</c:v>
                </c:pt>
              </c:strCache>
            </c:strRef>
          </c:cat>
          <c:val>
            <c:numRef>
              <c:f>גיליון1!$C$2:$C$7</c:f>
              <c:numCache>
                <c:formatCode>General</c:formatCode>
                <c:ptCount val="6"/>
                <c:pt idx="1">
                  <c:v>7.46</c:v>
                </c:pt>
                <c:pt idx="2">
                  <c:v>10.31</c:v>
                </c:pt>
                <c:pt idx="3">
                  <c:v>15.5</c:v>
                </c:pt>
                <c:pt idx="4">
                  <c:v>69.31</c:v>
                </c:pt>
                <c:pt idx="5">
                  <c:v>195.58</c:v>
                </c:pt>
              </c:numCache>
            </c:numRef>
          </c:val>
        </c:ser>
        <c:ser>
          <c:idx val="2"/>
          <c:order val="2"/>
          <c:tx>
            <c:strRef>
              <c:f>גיליון1!$D$1</c:f>
              <c:strCache>
                <c:ptCount val="1"/>
                <c:pt idx="0">
                  <c:v>אחרים</c:v>
                </c:pt>
              </c:strCache>
            </c:strRef>
          </c:tx>
          <c:invertIfNegative val="0"/>
          <c:cat>
            <c:strRef>
              <c:f>גיליון1!$A$2:$A$7</c:f>
              <c:strCache>
                <c:ptCount val="6"/>
                <c:pt idx="0">
                  <c:v>50-54</c:v>
                </c:pt>
                <c:pt idx="1">
                  <c:v>55-59</c:v>
                </c:pt>
                <c:pt idx="2">
                  <c:v>60-64</c:v>
                </c:pt>
                <c:pt idx="3">
                  <c:v>65-69</c:v>
                </c:pt>
                <c:pt idx="4">
                  <c:v>70-74</c:v>
                </c:pt>
                <c:pt idx="5">
                  <c:v>75+</c:v>
                </c:pt>
              </c:strCache>
            </c:strRef>
          </c:cat>
          <c:val>
            <c:numRef>
              <c:f>גיליון1!$D$2:$D$7</c:f>
              <c:numCache>
                <c:formatCode>General</c:formatCode>
                <c:ptCount val="6"/>
                <c:pt idx="2">
                  <c:v>30.3</c:v>
                </c:pt>
                <c:pt idx="3">
                  <c:v>70.180000000000007</c:v>
                </c:pt>
                <c:pt idx="4">
                  <c:v>71.430000000000007</c:v>
                </c:pt>
                <c:pt idx="5">
                  <c:v>311.11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90400"/>
        <c:axId val="129592320"/>
      </c:barChart>
      <c:catAx>
        <c:axId val="129590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e-IL"/>
                  <a:t>קבוצת גיל</a:t>
                </a:r>
              </a:p>
            </c:rich>
          </c:tx>
          <c:overlay val="0"/>
        </c:title>
        <c:majorTickMark val="out"/>
        <c:minorTickMark val="none"/>
        <c:tickLblPos val="nextTo"/>
        <c:crossAx val="129592320"/>
        <c:crosses val="autoZero"/>
        <c:auto val="1"/>
        <c:lblAlgn val="ctr"/>
        <c:lblOffset val="100"/>
        <c:noMultiLvlLbl val="0"/>
      </c:catAx>
      <c:valAx>
        <c:axId val="1295923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e-IL"/>
                  <a:t>שיעור סגולי לגיל ל-100,000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590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41083873136547"/>
          <c:y val="0.13542131113496417"/>
          <c:w val="0.26319802697076655"/>
          <c:h val="5.746079881101611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/>
              <a:t>שיעורי ההיארעות של סרטן הערמונית בישראל ובמדינות אירופה</a:t>
            </a:r>
          </a:p>
          <a:p>
            <a:pPr>
              <a:defRPr/>
            </a:pPr>
            <a:r>
              <a:rPr lang="he-IL"/>
              <a:t> </a:t>
            </a:r>
            <a:r>
              <a:rPr lang="en-US"/>
              <a:t>Globocan 2012</a:t>
            </a:r>
            <a:endParaRPr lang="he-IL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היארעות!$B$1</c:f>
              <c:strCache>
                <c:ptCount val="1"/>
                <c:pt idx="0">
                  <c:v>היארעות</c:v>
                </c:pt>
              </c:strCache>
            </c:strRef>
          </c:tx>
          <c:invertIfNegative val="0"/>
          <c:dPt>
            <c:idx val="10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58-40A6-9199-506CC107B7E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היארעות!$A$2:$A$22</c:f>
              <c:strCache>
                <c:ptCount val="21"/>
                <c:pt idx="0">
                  <c:v>נורווגיה</c:v>
                </c:pt>
                <c:pt idx="1">
                  <c:v>צרפת</c:v>
                </c:pt>
                <c:pt idx="2">
                  <c:v>שבדיה</c:v>
                </c:pt>
                <c:pt idx="3">
                  <c:v>אירלנד</c:v>
                </c:pt>
                <c:pt idx="4">
                  <c:v>שוויץ</c:v>
                </c:pt>
                <c:pt idx="5">
                  <c:v>איסלנד</c:v>
                </c:pt>
                <c:pt idx="6">
                  <c:v>פינלנד</c:v>
                </c:pt>
                <c:pt idx="7">
                  <c:v>אסטוניה</c:v>
                </c:pt>
                <c:pt idx="8">
                  <c:v>דנמרק</c:v>
                </c:pt>
                <c:pt idx="9">
                  <c:v>בלגיה</c:v>
                </c:pt>
                <c:pt idx="10">
                  <c:v>ישראל</c:v>
                </c:pt>
                <c:pt idx="11">
                  <c:v>הולנד</c:v>
                </c:pt>
                <c:pt idx="12">
                  <c:v>סלובניה</c:v>
                </c:pt>
                <c:pt idx="13">
                  <c:v>לטביה</c:v>
                </c:pt>
                <c:pt idx="14">
                  <c:v>לוקסמבורג</c:v>
                </c:pt>
                <c:pt idx="15">
                  <c:v>גרמניה</c:v>
                </c:pt>
                <c:pt idx="16">
                  <c:v>אוסטריה</c:v>
                </c:pt>
                <c:pt idx="17">
                  <c:v>בריטניה</c:v>
                </c:pt>
                <c:pt idx="18">
                  <c:v>צ'כיה</c:v>
                </c:pt>
                <c:pt idx="19">
                  <c:v>איטליה</c:v>
                </c:pt>
                <c:pt idx="20">
                  <c:v>ספרד</c:v>
                </c:pt>
              </c:strCache>
            </c:strRef>
          </c:cat>
          <c:val>
            <c:numRef>
              <c:f>היארעות!$B$2:$B$22</c:f>
              <c:numCache>
                <c:formatCode>General</c:formatCode>
                <c:ptCount val="21"/>
                <c:pt idx="0">
                  <c:v>129.69999999999999</c:v>
                </c:pt>
                <c:pt idx="1">
                  <c:v>127.3</c:v>
                </c:pt>
                <c:pt idx="2">
                  <c:v>119</c:v>
                </c:pt>
                <c:pt idx="3">
                  <c:v>114.2</c:v>
                </c:pt>
                <c:pt idx="4">
                  <c:v>107.2</c:v>
                </c:pt>
                <c:pt idx="5">
                  <c:v>106.6</c:v>
                </c:pt>
                <c:pt idx="6">
                  <c:v>96.6</c:v>
                </c:pt>
                <c:pt idx="7">
                  <c:v>94.4</c:v>
                </c:pt>
                <c:pt idx="8">
                  <c:v>91.3</c:v>
                </c:pt>
                <c:pt idx="9">
                  <c:v>90.9</c:v>
                </c:pt>
                <c:pt idx="10">
                  <c:v>84.3</c:v>
                </c:pt>
                <c:pt idx="11">
                  <c:v>83.4</c:v>
                </c:pt>
                <c:pt idx="12">
                  <c:v>82.9</c:v>
                </c:pt>
                <c:pt idx="13">
                  <c:v>82.7</c:v>
                </c:pt>
                <c:pt idx="14">
                  <c:v>78.8</c:v>
                </c:pt>
                <c:pt idx="15">
                  <c:v>77.3</c:v>
                </c:pt>
                <c:pt idx="16">
                  <c:v>74.7</c:v>
                </c:pt>
                <c:pt idx="17">
                  <c:v>73.2</c:v>
                </c:pt>
                <c:pt idx="18">
                  <c:v>72.2</c:v>
                </c:pt>
                <c:pt idx="19">
                  <c:v>67.599999999999994</c:v>
                </c:pt>
                <c:pt idx="20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58-40A6-9199-506CC107B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64736"/>
        <c:axId val="32566272"/>
      </c:barChart>
      <c:catAx>
        <c:axId val="325647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2566272"/>
        <c:crosses val="autoZero"/>
        <c:auto val="1"/>
        <c:lblAlgn val="ctr"/>
        <c:lblOffset val="100"/>
        <c:noMultiLvlLbl val="0"/>
      </c:catAx>
      <c:valAx>
        <c:axId val="32566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e-IL"/>
                  <a:t>שיעור היארעות מתוקנן לגיל ל-100,000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564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53018372703423"/>
          <c:y val="2.1963799336403703E-2"/>
          <c:w val="0.72313232997774013"/>
          <c:h val="0.898450205516763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'[812015071x1g030 (2).xls]Data3.22'!$B$8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B99-492C-BD35-F886664CF7AB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B99-492C-BD35-F886664CF7AB}"/>
              </c:ext>
            </c:extLst>
          </c:dPt>
          <c:dPt>
            <c:idx val="1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B99-492C-BD35-F886664CF7AB}"/>
              </c:ext>
            </c:extLst>
          </c:dPt>
          <c:dPt>
            <c:idx val="1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B99-492C-BD35-F886664CF7AB}"/>
              </c:ext>
            </c:extLst>
          </c:dPt>
          <c:dLbls>
            <c:dLbl>
              <c:idx val="15"/>
              <c:numFmt formatCode="0" sourceLinked="0"/>
              <c:spPr/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1.703940362087327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99-492C-BD35-F886664CF7AB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'[812015071x1g030 (2).xls]Data3.22'!$A$9:$A$43</c:f>
              <c:strCache>
                <c:ptCount val="35"/>
                <c:pt idx="0">
                  <c:v>Greece</c:v>
                </c:pt>
                <c:pt idx="1">
                  <c:v>Mexico</c:v>
                </c:pt>
                <c:pt idx="2">
                  <c:v>Korea</c:v>
                </c:pt>
                <c:pt idx="3">
                  <c:v>Japan</c:v>
                </c:pt>
                <c:pt idx="4">
                  <c:v>Poland</c:v>
                </c:pt>
                <c:pt idx="5">
                  <c:v>Hungary</c:v>
                </c:pt>
                <c:pt idx="6">
                  <c:v>Turkey</c:v>
                </c:pt>
                <c:pt idx="7">
                  <c:v>Slovak Rep.</c:v>
                </c:pt>
                <c:pt idx="8">
                  <c:v>Chile</c:v>
                </c:pt>
                <c:pt idx="9">
                  <c:v>Portugal</c:v>
                </c:pt>
                <c:pt idx="10">
                  <c:v>Spain</c:v>
                </c:pt>
                <c:pt idx="11">
                  <c:v>Italy</c:v>
                </c:pt>
                <c:pt idx="12">
                  <c:v>Czech Rep.</c:v>
                </c:pt>
                <c:pt idx="13">
                  <c:v>United Kingdom</c:v>
                </c:pt>
                <c:pt idx="14">
                  <c:v>Austria</c:v>
                </c:pt>
                <c:pt idx="15">
                  <c:v>OECD (34)</c:v>
                </c:pt>
                <c:pt idx="16">
                  <c:v>Germany</c:v>
                </c:pt>
                <c:pt idx="17">
                  <c:v>Luxembourg</c:v>
                </c:pt>
                <c:pt idx="18">
                  <c:v>Slovenia</c:v>
                </c:pt>
                <c:pt idx="19">
                  <c:v>Netherlands</c:v>
                </c:pt>
                <c:pt idx="20">
                  <c:v>Israel</c:v>
                </c:pt>
                <c:pt idx="21">
                  <c:v>Canada</c:v>
                </c:pt>
                <c:pt idx="22">
                  <c:v>Belgium</c:v>
                </c:pt>
                <c:pt idx="23">
                  <c:v>Denmark</c:v>
                </c:pt>
                <c:pt idx="24">
                  <c:v>New Zealand</c:v>
                </c:pt>
                <c:pt idx="25">
                  <c:v>Estonia</c:v>
                </c:pt>
                <c:pt idx="26">
                  <c:v>Finland</c:v>
                </c:pt>
                <c:pt idx="27">
                  <c:v>France</c:v>
                </c:pt>
                <c:pt idx="28">
                  <c:v>United States</c:v>
                </c:pt>
                <c:pt idx="29">
                  <c:v>Iceland</c:v>
                </c:pt>
                <c:pt idx="30">
                  <c:v>Switzerland</c:v>
                </c:pt>
                <c:pt idx="31">
                  <c:v>Ireland</c:v>
                </c:pt>
                <c:pt idx="32">
                  <c:v>Australia</c:v>
                </c:pt>
                <c:pt idx="33">
                  <c:v>Sweden</c:v>
                </c:pt>
                <c:pt idx="34">
                  <c:v>Norway</c:v>
                </c:pt>
              </c:strCache>
            </c:strRef>
          </c:cat>
          <c:val>
            <c:numRef>
              <c:f>'[812015071x1g030 (2).xls]Data3.22'!$B$9:$B$43</c:f>
              <c:numCache>
                <c:formatCode>0.0</c:formatCode>
                <c:ptCount val="35"/>
                <c:pt idx="0">
                  <c:v>20.2</c:v>
                </c:pt>
                <c:pt idx="1">
                  <c:v>27.3</c:v>
                </c:pt>
                <c:pt idx="2">
                  <c:v>30.3</c:v>
                </c:pt>
                <c:pt idx="3">
                  <c:v>30.4</c:v>
                </c:pt>
                <c:pt idx="4">
                  <c:v>35.9</c:v>
                </c:pt>
                <c:pt idx="5">
                  <c:v>37.5</c:v>
                </c:pt>
                <c:pt idx="6">
                  <c:v>40.6</c:v>
                </c:pt>
                <c:pt idx="7">
                  <c:v>50</c:v>
                </c:pt>
                <c:pt idx="8">
                  <c:v>52.4</c:v>
                </c:pt>
                <c:pt idx="9">
                  <c:v>63.6</c:v>
                </c:pt>
                <c:pt idx="10">
                  <c:v>65.2</c:v>
                </c:pt>
                <c:pt idx="11">
                  <c:v>67.599999999999994</c:v>
                </c:pt>
                <c:pt idx="12">
                  <c:v>72.2</c:v>
                </c:pt>
                <c:pt idx="13">
                  <c:v>73.2</c:v>
                </c:pt>
                <c:pt idx="14">
                  <c:v>74.7</c:v>
                </c:pt>
                <c:pt idx="15">
                  <c:v>76.182352941176447</c:v>
                </c:pt>
                <c:pt idx="16">
                  <c:v>77.3</c:v>
                </c:pt>
                <c:pt idx="17">
                  <c:v>78.8</c:v>
                </c:pt>
                <c:pt idx="18">
                  <c:v>82.9</c:v>
                </c:pt>
                <c:pt idx="19">
                  <c:v>83.4</c:v>
                </c:pt>
                <c:pt idx="20">
                  <c:v>84.3</c:v>
                </c:pt>
                <c:pt idx="21">
                  <c:v>88.9</c:v>
                </c:pt>
                <c:pt idx="22">
                  <c:v>90.9</c:v>
                </c:pt>
                <c:pt idx="23">
                  <c:v>91.3</c:v>
                </c:pt>
                <c:pt idx="24">
                  <c:v>92.2</c:v>
                </c:pt>
                <c:pt idx="25">
                  <c:v>94.4</c:v>
                </c:pt>
                <c:pt idx="26">
                  <c:v>96.6</c:v>
                </c:pt>
                <c:pt idx="27">
                  <c:v>98</c:v>
                </c:pt>
                <c:pt idx="28">
                  <c:v>98.2</c:v>
                </c:pt>
                <c:pt idx="29">
                  <c:v>106.6</c:v>
                </c:pt>
                <c:pt idx="30">
                  <c:v>107.2</c:v>
                </c:pt>
                <c:pt idx="31">
                  <c:v>114.2</c:v>
                </c:pt>
                <c:pt idx="32">
                  <c:v>115.2</c:v>
                </c:pt>
                <c:pt idx="33">
                  <c:v>119</c:v>
                </c:pt>
                <c:pt idx="34">
                  <c:v>129.69999999999999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B99-492C-BD35-F886664CF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2524544"/>
        <c:axId val="73871360"/>
      </c:barChart>
      <c:catAx>
        <c:axId val="3252454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3871360"/>
        <c:crosses val="autoZero"/>
        <c:auto val="1"/>
        <c:lblAlgn val="ctr"/>
        <c:lblOffset val="100"/>
        <c:tickLblSkip val="1"/>
        <c:noMultiLvlLbl val="0"/>
      </c:catAx>
      <c:valAx>
        <c:axId val="73871360"/>
        <c:scaling>
          <c:orientation val="minMax"/>
          <c:max val="15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Age-standardised rates per 100 000 men</a:t>
                </a:r>
              </a:p>
            </c:rich>
          </c:tx>
          <c:layout>
            <c:manualLayout>
              <c:xMode val="edge"/>
              <c:yMode val="edge"/>
              <c:x val="0.28665970970496157"/>
              <c:y val="0.9597523453132714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524544"/>
        <c:crosses val="max"/>
        <c:crossBetween val="between"/>
        <c:majorUnit val="25"/>
      </c:valAx>
      <c:spPr>
        <a:ln>
          <a:solidFill>
            <a:sysClr val="window" lastClr="FFFFFF">
              <a:lumMod val="50000"/>
            </a:sys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he-IL" sz="1200"/>
              <a:t>שיעורי התמותה מסרטן הערמונית בישראל ובמדינות אירופה</a:t>
            </a:r>
            <a:endParaRPr lang="en-US" sz="1200"/>
          </a:p>
          <a:p>
            <a:pPr>
              <a:defRPr sz="1200"/>
            </a:pPr>
            <a:r>
              <a:rPr lang="he-IL" sz="1200"/>
              <a:t> </a:t>
            </a:r>
            <a:r>
              <a:rPr lang="en-US" sz="1200"/>
              <a:t>Globocan 2012</a:t>
            </a:r>
            <a:endParaRPr lang="he-IL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675499767549978"/>
          <c:y val="0.12182692307692308"/>
          <c:w val="0.83737796373779638"/>
          <c:h val="0.780737179487179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תמותה!$B$1</c:f>
              <c:strCache>
                <c:ptCount val="1"/>
                <c:pt idx="0">
                  <c:v>תמותה</c:v>
                </c:pt>
              </c:strCache>
            </c:strRef>
          </c:tx>
          <c:invertIfNegative val="0"/>
          <c:dPt>
            <c:idx val="20"/>
            <c:invertIfNegative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AB-4537-B86D-96849531A27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תמותה!$A$2:$A$22</c:f>
              <c:strCache>
                <c:ptCount val="21"/>
                <c:pt idx="0">
                  <c:v>דנמרק</c:v>
                </c:pt>
                <c:pt idx="1">
                  <c:v>אסטוניה</c:v>
                </c:pt>
                <c:pt idx="2">
                  <c:v>סלובניה</c:v>
                </c:pt>
                <c:pt idx="3">
                  <c:v>לטביה</c:v>
                </c:pt>
                <c:pt idx="4">
                  <c:v>נורווגיה</c:v>
                </c:pt>
                <c:pt idx="5">
                  <c:v>שבדיה</c:v>
                </c:pt>
                <c:pt idx="6">
                  <c:v>איסלנד</c:v>
                </c:pt>
                <c:pt idx="7">
                  <c:v>הולנד</c:v>
                </c:pt>
                <c:pt idx="8">
                  <c:v>בריטניה</c:v>
                </c:pt>
                <c:pt idx="9">
                  <c:v>בלגיה</c:v>
                </c:pt>
                <c:pt idx="10">
                  <c:v>אירלנד</c:v>
                </c:pt>
                <c:pt idx="11">
                  <c:v>שוויץ</c:v>
                </c:pt>
                <c:pt idx="12">
                  <c:v>פינלנד</c:v>
                </c:pt>
                <c:pt idx="13">
                  <c:v>צ'כיה</c:v>
                </c:pt>
                <c:pt idx="14">
                  <c:v>לוקסמבורג</c:v>
                </c:pt>
                <c:pt idx="15">
                  <c:v>גרמניה</c:v>
                </c:pt>
                <c:pt idx="16">
                  <c:v>אוסטריה</c:v>
                </c:pt>
                <c:pt idx="17">
                  <c:v>צרפת</c:v>
                </c:pt>
                <c:pt idx="18">
                  <c:v>ספרד</c:v>
                </c:pt>
                <c:pt idx="19">
                  <c:v>איטליה</c:v>
                </c:pt>
                <c:pt idx="20">
                  <c:v>ישראל</c:v>
                </c:pt>
              </c:strCache>
            </c:strRef>
          </c:cat>
          <c:val>
            <c:numRef>
              <c:f>תמותה!$B$2:$B$22</c:f>
              <c:numCache>
                <c:formatCode>General</c:formatCode>
                <c:ptCount val="21"/>
                <c:pt idx="0">
                  <c:v>19.5</c:v>
                </c:pt>
                <c:pt idx="1">
                  <c:v>19.3</c:v>
                </c:pt>
                <c:pt idx="2">
                  <c:v>18.5</c:v>
                </c:pt>
                <c:pt idx="3">
                  <c:v>18</c:v>
                </c:pt>
                <c:pt idx="4">
                  <c:v>17.899999999999999</c:v>
                </c:pt>
                <c:pt idx="5">
                  <c:v>17.8</c:v>
                </c:pt>
                <c:pt idx="6">
                  <c:v>14.8</c:v>
                </c:pt>
                <c:pt idx="7">
                  <c:v>13.5</c:v>
                </c:pt>
                <c:pt idx="8">
                  <c:v>13.1</c:v>
                </c:pt>
                <c:pt idx="9">
                  <c:v>12.7</c:v>
                </c:pt>
                <c:pt idx="10">
                  <c:v>12.5</c:v>
                </c:pt>
                <c:pt idx="11">
                  <c:v>12.2</c:v>
                </c:pt>
                <c:pt idx="12">
                  <c:v>12</c:v>
                </c:pt>
                <c:pt idx="13">
                  <c:v>11.8</c:v>
                </c:pt>
                <c:pt idx="14">
                  <c:v>10.4</c:v>
                </c:pt>
                <c:pt idx="15">
                  <c:v>10.4</c:v>
                </c:pt>
                <c:pt idx="16">
                  <c:v>10.199999999999999</c:v>
                </c:pt>
                <c:pt idx="17">
                  <c:v>10</c:v>
                </c:pt>
                <c:pt idx="18">
                  <c:v>8.6</c:v>
                </c:pt>
                <c:pt idx="19">
                  <c:v>7.9</c:v>
                </c:pt>
                <c:pt idx="20">
                  <c:v>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AB-4537-B86D-96849531A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92064"/>
        <c:axId val="73993600"/>
      </c:barChart>
      <c:catAx>
        <c:axId val="73992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3993600"/>
        <c:crosses val="autoZero"/>
        <c:auto val="1"/>
        <c:lblAlgn val="ctr"/>
        <c:lblOffset val="100"/>
        <c:noMultiLvlLbl val="0"/>
      </c:catAx>
      <c:valAx>
        <c:axId val="7399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e-IL"/>
                  <a:t>שיעור תמותה מתוקנן לגיל ל-100,000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992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0.72084</cdr:x>
      <cdr:y>0.52026</cdr:y>
    </cdr:from>
    <cdr:to>
      <cdr:x>0.83117</cdr:x>
      <cdr:y>0.56435</cdr:y>
    </cdr:to>
    <cdr:sp macro="" textlink="">
      <cdr:nvSpPr>
        <cdr:cNvPr id="2" name="חץ שמאלה 1"/>
        <cdr:cNvSpPr/>
      </cdr:nvSpPr>
      <cdr:spPr>
        <a:xfrm xmlns:a="http://schemas.openxmlformats.org/drawingml/2006/main">
          <a:off x="2817791" y="2148704"/>
          <a:ext cx="431286" cy="182093"/>
        </a:xfrm>
        <a:prstGeom xmlns:a="http://schemas.openxmlformats.org/drawingml/2006/main" prst="leftArrow">
          <a:avLst/>
        </a:prstGeom>
        <a:solidFill xmlns:a="http://schemas.openxmlformats.org/drawingml/2006/main">
          <a:schemeClr val="accent2"/>
        </a:solidFill>
        <a:ln xmlns:a="http://schemas.openxmlformats.org/drawingml/2006/main">
          <a:solidFill>
            <a:schemeClr val="accent2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he-IL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5910-58FC-4E28-ABBA-DE66AD8A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סרטן הערמונית בישראל</vt:lpstr>
      <vt:lpstr>סרטן הערמונית בישראל</vt:lpstr>
    </vt:vector>
  </TitlesOfParts>
  <Company>Health.gov.il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סרטן הערמונית בישראל</dc:title>
  <dc:creator>ברברה סילברמן</dc:creator>
  <cp:lastModifiedBy>Revital Parker</cp:lastModifiedBy>
  <cp:revision>2</cp:revision>
  <cp:lastPrinted>2018-08-28T09:22:00Z</cp:lastPrinted>
  <dcterms:created xsi:type="dcterms:W3CDTF">2018-09-03T11:15:00Z</dcterms:created>
  <dcterms:modified xsi:type="dcterms:W3CDTF">2018-09-03T11:15:00Z</dcterms:modified>
</cp:coreProperties>
</file>